
<file path=[Content_Types].xml><?xml version="1.0" encoding="utf-8"?>
<Types xmlns="http://schemas.openxmlformats.org/package/2006/content-types">
  <Default Extension="xml" ContentType="application/xml"/>
  <Default Extension="emf" ContentType="image/x-e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E4646">
      <w:pPr>
        <w:rPr>
          <w:rFonts w:ascii="Cambria" w:hAnsi="Cambria"/>
        </w:rPr>
      </w:pPr>
    </w:p>
    <w:p w14:paraId="45DABDDA">
      <w:pPr>
        <w:jc w:val="center"/>
        <w:rPr>
          <w:rFonts w:ascii="Cambria" w:hAnsi="Cambria"/>
          <w:b/>
          <w:bCs/>
        </w:rPr>
      </w:pPr>
      <w:r>
        <w:rPr>
          <w:rFonts w:ascii="Cambria" w:hAnsi="Cambria"/>
          <w:b/>
          <w:bCs/>
        </w:rPr>
        <w:t>FIŞA DISCIPLINEI</w:t>
      </w:r>
    </w:p>
    <w:p w14:paraId="2904A85C">
      <w:pPr>
        <w:jc w:val="center"/>
        <w:rPr>
          <w:rFonts w:hint="default" w:ascii="Cambria" w:hAnsi="Cambria"/>
          <w:lang w:val="ro-RO"/>
        </w:rPr>
      </w:pPr>
      <w:r>
        <w:rPr>
          <w:rFonts w:hint="default" w:ascii="Cambria" w:hAnsi="Cambria"/>
          <w:lang w:val="ro-RO"/>
        </w:rPr>
        <w:t>Fundamentele regiei de teatru</w:t>
      </w:r>
    </w:p>
    <w:p w14:paraId="147D6DE1">
      <w:pPr>
        <w:jc w:val="center"/>
        <w:rPr>
          <w:rFonts w:hint="default" w:ascii="Cambria" w:hAnsi="Cambria"/>
          <w:lang w:val="ro-RO"/>
        </w:rPr>
      </w:pPr>
      <w:r>
        <w:rPr>
          <w:rFonts w:ascii="Cambria" w:hAnsi="Cambria"/>
        </w:rPr>
        <w:t xml:space="preserve">Anul universitar </w:t>
      </w:r>
      <w:r>
        <w:rPr>
          <w:rFonts w:hint="default" w:ascii="Cambria" w:hAnsi="Cambria"/>
          <w:lang w:val="ro-RO"/>
        </w:rPr>
        <w:t>2025-2026</w:t>
      </w:r>
    </w:p>
    <w:p w14:paraId="28DAEF12">
      <w:pPr>
        <w:rPr>
          <w:rFonts w:ascii="Cambria" w:hAnsi="Cambria"/>
          <w:color w:val="FF0000"/>
          <w:sz w:val="20"/>
          <w:szCs w:val="20"/>
        </w:rPr>
      </w:pPr>
    </w:p>
    <w:p w14:paraId="6FE23610">
      <w:pPr>
        <w:spacing w:after="0"/>
        <w:ind w:left="142" w:hanging="567"/>
        <w:rPr>
          <w:rFonts w:ascii="Cambria" w:hAnsi="Cambria"/>
          <w:b/>
          <w:sz w:val="20"/>
          <w:szCs w:val="20"/>
        </w:rPr>
      </w:pPr>
      <w:r>
        <w:rPr>
          <w:rFonts w:ascii="Cambria" w:hAnsi="Cambria"/>
          <w:b/>
          <w:sz w:val="20"/>
          <w:szCs w:val="20"/>
        </w:rPr>
        <w:t>1. Date despre program</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3"/>
        <w:gridCol w:w="7088"/>
      </w:tblGrid>
      <w:tr w14:paraId="36E5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6BABABB2">
            <w:pPr>
              <w:keepNext/>
              <w:suppressAutoHyphens/>
              <w:spacing w:after="0" w:line="240" w:lineRule="auto"/>
              <w:ind w:left="34" w:right="-625"/>
              <w:outlineLvl w:val="0"/>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1.1. Instituția de învățământ superior</w:t>
            </w:r>
          </w:p>
        </w:tc>
        <w:tc>
          <w:tcPr>
            <w:tcW w:w="7088" w:type="dxa"/>
            <w:vAlign w:val="center"/>
          </w:tcPr>
          <w:p w14:paraId="33E6C37A">
            <w:pPr>
              <w:keepNext/>
              <w:suppressAutoHyphens/>
              <w:spacing w:after="0" w:line="240" w:lineRule="auto"/>
              <w:ind w:left="90" w:right="-625"/>
              <w:outlineLvl w:val="0"/>
              <w:rPr>
                <w:rFonts w:hint="default" w:ascii="Cambria" w:hAnsi="Cambria" w:eastAsia="Times New Roman" w:cs="Times New Roman"/>
                <w:kern w:val="0"/>
                <w:sz w:val="20"/>
                <w:szCs w:val="22"/>
                <w:lang w:val="ro-RO" w:eastAsia="zh-CN"/>
                <w14:ligatures w14:val="none"/>
              </w:rPr>
            </w:pPr>
            <w:r>
              <w:rPr>
                <w:rFonts w:hint="default" w:ascii="Cambria" w:hAnsi="Cambria" w:eastAsia="Times New Roman" w:cs="Times New Roman"/>
                <w:kern w:val="0"/>
                <w:sz w:val="20"/>
                <w:szCs w:val="22"/>
                <w:lang w:val="ro-RO" w:eastAsia="zh-CN"/>
                <w14:ligatures w14:val="none"/>
              </w:rPr>
              <w:t>Universitatea Babeș-Balyai</w:t>
            </w:r>
          </w:p>
        </w:tc>
      </w:tr>
      <w:tr w14:paraId="3375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2C64104C">
            <w:pPr>
              <w:keepNext/>
              <w:suppressAutoHyphens/>
              <w:spacing w:after="0" w:line="240" w:lineRule="auto"/>
              <w:ind w:left="34"/>
              <w:outlineLvl w:val="4"/>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1.2. Facultatea</w:t>
            </w:r>
          </w:p>
        </w:tc>
        <w:tc>
          <w:tcPr>
            <w:tcW w:w="7088" w:type="dxa"/>
            <w:vAlign w:val="center"/>
          </w:tcPr>
          <w:p w14:paraId="15D1FA1F">
            <w:pPr>
              <w:keepNext/>
              <w:suppressAutoHyphens/>
              <w:spacing w:after="0" w:line="240" w:lineRule="auto"/>
              <w:ind w:left="90" w:right="-625"/>
              <w:outlineLvl w:val="0"/>
              <w:rPr>
                <w:rFonts w:hint="default" w:ascii="Cambria" w:hAnsi="Cambria" w:eastAsia="Times New Roman" w:cs="Times New Roman"/>
                <w:kern w:val="0"/>
                <w:sz w:val="20"/>
                <w:szCs w:val="22"/>
                <w:lang w:val="ro-RO" w:eastAsia="zh-CN"/>
                <w14:ligatures w14:val="none"/>
              </w:rPr>
            </w:pPr>
            <w:r>
              <w:rPr>
                <w:rFonts w:hint="default" w:ascii="Cambria" w:hAnsi="Cambria" w:eastAsia="Times New Roman" w:cs="Times New Roman"/>
                <w:kern w:val="0"/>
                <w:sz w:val="20"/>
                <w:szCs w:val="22"/>
                <w:lang w:val="ro-RO" w:eastAsia="zh-CN"/>
                <w14:ligatures w14:val="none"/>
              </w:rPr>
              <w:t>Facultatea de Teatru și Film</w:t>
            </w:r>
          </w:p>
        </w:tc>
      </w:tr>
      <w:tr w14:paraId="76018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30854B61">
            <w:pPr>
              <w:keepNext/>
              <w:suppressAutoHyphens/>
              <w:spacing w:after="0" w:line="240" w:lineRule="auto"/>
              <w:ind w:left="34" w:right="-625"/>
              <w:outlineLvl w:val="0"/>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1.3. Departamentul</w:t>
            </w:r>
          </w:p>
        </w:tc>
        <w:tc>
          <w:tcPr>
            <w:tcW w:w="7088" w:type="dxa"/>
            <w:vAlign w:val="center"/>
          </w:tcPr>
          <w:p w14:paraId="04A98289">
            <w:pPr>
              <w:keepNext/>
              <w:suppressAutoHyphens/>
              <w:spacing w:after="0" w:line="240" w:lineRule="auto"/>
              <w:ind w:left="90" w:right="-625"/>
              <w:outlineLvl w:val="0"/>
              <w:rPr>
                <w:rFonts w:hint="default" w:ascii="Cambria" w:hAnsi="Cambria" w:eastAsia="Times New Roman" w:cs="Times New Roman"/>
                <w:kern w:val="0"/>
                <w:sz w:val="20"/>
                <w:szCs w:val="22"/>
                <w:lang w:val="ro-RO" w:eastAsia="zh-CN"/>
                <w14:ligatures w14:val="none"/>
              </w:rPr>
            </w:pPr>
            <w:r>
              <w:rPr>
                <w:rFonts w:hint="default" w:ascii="Cambria" w:hAnsi="Cambria" w:eastAsia="Times New Roman" w:cs="Times New Roman"/>
                <w:kern w:val="0"/>
                <w:sz w:val="20"/>
                <w:szCs w:val="22"/>
                <w:lang w:val="ro-RO" w:eastAsia="zh-CN"/>
                <w14:ligatures w14:val="none"/>
              </w:rPr>
              <w:t>Departamentul de Teatru</w:t>
            </w:r>
          </w:p>
        </w:tc>
      </w:tr>
      <w:tr w14:paraId="7505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32CD6E9C">
            <w:pPr>
              <w:suppressAutoHyphens/>
              <w:spacing w:after="0" w:line="240" w:lineRule="auto"/>
              <w:ind w:left="34"/>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1.4.</w:t>
            </w:r>
            <w:r>
              <w:rPr>
                <w:rFonts w:ascii="Cambria" w:hAnsi="Cambria" w:eastAsia="Times New Roman" w:cs="Times New Roman"/>
                <w:b/>
                <w:kern w:val="0"/>
                <w:sz w:val="20"/>
                <w:szCs w:val="22"/>
                <w:lang w:eastAsia="zh-CN"/>
                <w14:ligatures w14:val="none"/>
              </w:rPr>
              <w:t xml:space="preserve"> </w:t>
            </w:r>
            <w:r>
              <w:rPr>
                <w:rFonts w:ascii="Cambria" w:hAnsi="Cambria" w:eastAsia="Times New Roman" w:cs="Times New Roman"/>
                <w:kern w:val="0"/>
                <w:sz w:val="20"/>
                <w:szCs w:val="22"/>
                <w:lang w:eastAsia="zh-CN"/>
                <w14:ligatures w14:val="none"/>
              </w:rPr>
              <w:t>Domeniul de studii</w:t>
            </w:r>
          </w:p>
        </w:tc>
        <w:tc>
          <w:tcPr>
            <w:tcW w:w="7088" w:type="dxa"/>
            <w:vAlign w:val="center"/>
          </w:tcPr>
          <w:p w14:paraId="0E1920A1">
            <w:pPr>
              <w:keepNext/>
              <w:suppressAutoHyphens/>
              <w:spacing w:after="0" w:line="240" w:lineRule="auto"/>
              <w:ind w:left="90" w:right="-625"/>
              <w:outlineLvl w:val="0"/>
              <w:rPr>
                <w:rFonts w:hint="default" w:ascii="Cambria" w:hAnsi="Cambria" w:eastAsia="Times New Roman" w:cs="Times New Roman"/>
                <w:kern w:val="0"/>
                <w:sz w:val="20"/>
                <w:szCs w:val="22"/>
                <w:lang w:val="ro-RO" w:eastAsia="zh-CN"/>
                <w14:ligatures w14:val="none"/>
              </w:rPr>
            </w:pPr>
            <w:r>
              <w:rPr>
                <w:rFonts w:hint="default" w:ascii="Cambria" w:hAnsi="Cambria" w:eastAsia="Times New Roman" w:cs="Times New Roman"/>
                <w:kern w:val="0"/>
                <w:sz w:val="20"/>
                <w:szCs w:val="22"/>
                <w:lang w:val="ro-RO" w:eastAsia="zh-CN"/>
                <w14:ligatures w14:val="none"/>
              </w:rPr>
              <w:t>Teatru și Artele spectacolului</w:t>
            </w:r>
          </w:p>
        </w:tc>
      </w:tr>
      <w:tr w14:paraId="621A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6ED9A9E8">
            <w:pPr>
              <w:suppressAutoHyphens/>
              <w:spacing w:after="0" w:line="240" w:lineRule="auto"/>
              <w:ind w:left="34"/>
              <w:rPr>
                <w:rFonts w:ascii="Cambria" w:hAnsi="Cambria" w:eastAsia="Times New Roman" w:cs="Times New Roman"/>
                <w:kern w:val="0"/>
                <w:sz w:val="20"/>
                <w:szCs w:val="22"/>
                <w:vertAlign w:val="superscript"/>
                <w:lang w:eastAsia="zh-CN"/>
                <w14:ligatures w14:val="none"/>
              </w:rPr>
            </w:pPr>
            <w:r>
              <w:rPr>
                <w:rFonts w:ascii="Cambria" w:hAnsi="Cambria" w:eastAsia="Times New Roman" w:cs="Times New Roman"/>
                <w:kern w:val="0"/>
                <w:sz w:val="20"/>
                <w:szCs w:val="22"/>
                <w:lang w:eastAsia="zh-CN"/>
                <w14:ligatures w14:val="none"/>
              </w:rPr>
              <w:t>1.5.</w:t>
            </w:r>
            <w:r>
              <w:rPr>
                <w:rFonts w:ascii="Cambria" w:hAnsi="Cambria" w:eastAsia="Times New Roman" w:cs="Times New Roman"/>
                <w:b/>
                <w:kern w:val="0"/>
                <w:sz w:val="20"/>
                <w:szCs w:val="22"/>
                <w:lang w:eastAsia="zh-CN"/>
                <w14:ligatures w14:val="none"/>
              </w:rPr>
              <w:t xml:space="preserve"> </w:t>
            </w:r>
            <w:r>
              <w:rPr>
                <w:rFonts w:ascii="Cambria" w:hAnsi="Cambria" w:eastAsia="Times New Roman" w:cs="Times New Roman"/>
                <w:kern w:val="0"/>
                <w:sz w:val="20"/>
                <w:szCs w:val="22"/>
                <w:lang w:eastAsia="zh-CN"/>
                <w14:ligatures w14:val="none"/>
              </w:rPr>
              <w:t>Ciclul de studii</w:t>
            </w:r>
          </w:p>
        </w:tc>
        <w:tc>
          <w:tcPr>
            <w:tcW w:w="7088" w:type="dxa"/>
            <w:vAlign w:val="center"/>
          </w:tcPr>
          <w:p w14:paraId="2F581B40">
            <w:pPr>
              <w:keepNext/>
              <w:suppressAutoHyphens/>
              <w:spacing w:after="0" w:line="240" w:lineRule="auto"/>
              <w:ind w:left="90" w:right="-625"/>
              <w:outlineLvl w:val="0"/>
              <w:rPr>
                <w:rFonts w:hint="default" w:ascii="Cambria" w:hAnsi="Cambria" w:eastAsia="Times New Roman" w:cs="Times New Roman"/>
                <w:kern w:val="0"/>
                <w:sz w:val="20"/>
                <w:szCs w:val="22"/>
                <w:lang w:val="ro-RO" w:eastAsia="zh-CN"/>
                <w14:ligatures w14:val="none"/>
              </w:rPr>
            </w:pPr>
            <w:r>
              <w:rPr>
                <w:rFonts w:hint="default" w:ascii="Cambria" w:hAnsi="Cambria" w:eastAsia="Times New Roman" w:cs="Times New Roman"/>
                <w:kern w:val="0"/>
                <w:sz w:val="20"/>
                <w:szCs w:val="22"/>
                <w:lang w:val="ro-RO" w:eastAsia="zh-CN"/>
                <w14:ligatures w14:val="none"/>
              </w:rPr>
              <w:t>Licență</w:t>
            </w:r>
          </w:p>
        </w:tc>
      </w:tr>
      <w:tr w14:paraId="656B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1FF1F3E1">
            <w:pPr>
              <w:keepNext/>
              <w:suppressAutoHyphens/>
              <w:spacing w:after="0" w:line="240" w:lineRule="auto"/>
              <w:ind w:left="34"/>
              <w:outlineLvl w:val="1"/>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1.6. Programul de studii / Calificarea</w:t>
            </w:r>
          </w:p>
        </w:tc>
        <w:tc>
          <w:tcPr>
            <w:tcW w:w="7088" w:type="dxa"/>
            <w:vAlign w:val="center"/>
          </w:tcPr>
          <w:p w14:paraId="2025CE64">
            <w:pPr>
              <w:keepNext/>
              <w:suppressAutoHyphens/>
              <w:spacing w:after="0" w:line="240" w:lineRule="auto"/>
              <w:ind w:left="90" w:right="-625"/>
              <w:outlineLvl w:val="0"/>
              <w:rPr>
                <w:rFonts w:hint="default" w:ascii="Cambria" w:hAnsi="Cambria" w:eastAsia="Times New Roman" w:cs="Times New Roman"/>
                <w:kern w:val="0"/>
                <w:sz w:val="20"/>
                <w:szCs w:val="22"/>
                <w:lang w:val="ro-RO" w:eastAsia="zh-CN"/>
                <w14:ligatures w14:val="none"/>
              </w:rPr>
            </w:pPr>
            <w:r>
              <w:rPr>
                <w:rFonts w:hint="default" w:ascii="Cambria" w:hAnsi="Cambria" w:eastAsia="Times New Roman" w:cs="Times New Roman"/>
                <w:kern w:val="0"/>
                <w:sz w:val="20"/>
                <w:szCs w:val="22"/>
                <w:lang w:val="ro-RO" w:eastAsia="zh-CN"/>
                <w14:ligatures w14:val="none"/>
              </w:rPr>
              <w:t>Artele spectacolului (Regie)</w:t>
            </w:r>
          </w:p>
        </w:tc>
      </w:tr>
      <w:tr w14:paraId="506B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69749BF2">
            <w:pPr>
              <w:keepNext/>
              <w:suppressAutoHyphens/>
              <w:spacing w:after="0" w:line="240" w:lineRule="auto"/>
              <w:ind w:left="34"/>
              <w:outlineLvl w:val="1"/>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1.7. Forma de învățământ</w:t>
            </w:r>
          </w:p>
        </w:tc>
        <w:tc>
          <w:tcPr>
            <w:tcW w:w="7088" w:type="dxa"/>
            <w:vAlign w:val="center"/>
          </w:tcPr>
          <w:p w14:paraId="398F7AEA">
            <w:pPr>
              <w:keepNext/>
              <w:suppressAutoHyphens/>
              <w:spacing w:after="0" w:line="240" w:lineRule="auto"/>
              <w:ind w:right="-625"/>
              <w:outlineLvl w:val="0"/>
              <w:rPr>
                <w:rFonts w:hint="default" w:ascii="Cambria" w:hAnsi="Cambria" w:eastAsia="Times New Roman" w:cs="Times New Roman"/>
                <w:kern w:val="0"/>
                <w:sz w:val="20"/>
                <w:szCs w:val="22"/>
                <w:lang w:val="ro-RO" w:eastAsia="zh-CN"/>
                <w14:ligatures w14:val="none"/>
              </w:rPr>
            </w:pPr>
            <w:r>
              <w:rPr>
                <w:rFonts w:hint="default" w:ascii="Cambria" w:hAnsi="Cambria" w:eastAsia="Times New Roman" w:cs="Times New Roman"/>
                <w:kern w:val="0"/>
                <w:sz w:val="20"/>
                <w:szCs w:val="22"/>
                <w:lang w:val="ro-RO" w:eastAsia="zh-CN"/>
                <w14:ligatures w14:val="none"/>
              </w:rPr>
              <w:t>Învățământ cu frecvență</w:t>
            </w:r>
          </w:p>
        </w:tc>
      </w:tr>
    </w:tbl>
    <w:p w14:paraId="04115883">
      <w:pPr>
        <w:spacing w:after="0"/>
        <w:rPr>
          <w:rFonts w:ascii="Cambria" w:hAnsi="Cambria"/>
          <w:b/>
          <w:sz w:val="20"/>
          <w:szCs w:val="20"/>
        </w:rPr>
      </w:pPr>
    </w:p>
    <w:p w14:paraId="101334E7">
      <w:pPr>
        <w:spacing w:after="0"/>
        <w:ind w:left="142" w:hanging="567"/>
        <w:rPr>
          <w:rFonts w:ascii="Cambria" w:hAnsi="Cambria"/>
          <w:b/>
          <w:sz w:val="20"/>
          <w:szCs w:val="20"/>
        </w:rPr>
      </w:pPr>
      <w:r>
        <w:rPr>
          <w:rFonts w:ascii="Cambria" w:hAnsi="Cambria"/>
          <w:b/>
          <w:sz w:val="20"/>
          <w:szCs w:val="20"/>
        </w:rPr>
        <w:t>2. Date despre disciplină</w:t>
      </w:r>
    </w:p>
    <w:tbl>
      <w:tblPr>
        <w:tblStyle w:val="12"/>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8"/>
        <w:gridCol w:w="567"/>
        <w:gridCol w:w="142"/>
        <w:gridCol w:w="850"/>
        <w:gridCol w:w="425"/>
        <w:gridCol w:w="567"/>
        <w:gridCol w:w="1701"/>
        <w:gridCol w:w="567"/>
        <w:gridCol w:w="567"/>
        <w:gridCol w:w="1701"/>
        <w:gridCol w:w="1560"/>
      </w:tblGrid>
      <w:tr w14:paraId="3E2CE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577" w:type="dxa"/>
            <w:gridSpan w:val="3"/>
            <w:vAlign w:val="center"/>
          </w:tcPr>
          <w:p w14:paraId="54A19AC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2.1. Denumirea disciplinei</w:t>
            </w:r>
          </w:p>
        </w:tc>
        <w:tc>
          <w:tcPr>
            <w:tcW w:w="4677" w:type="dxa"/>
            <w:gridSpan w:val="6"/>
            <w:vAlign w:val="center"/>
          </w:tcPr>
          <w:p w14:paraId="56BB9F54">
            <w:pPr>
              <w:suppressAutoHyphens/>
              <w:spacing w:after="0" w:line="240" w:lineRule="auto"/>
              <w:rPr>
                <w:rFonts w:hint="default" w:ascii="Cambria" w:hAnsi="Cambria" w:eastAsia="Times New Roman" w:cs="Times New Roman"/>
                <w:b/>
                <w:sz w:val="20"/>
                <w:lang w:val="ro-RO" w:eastAsia="zh-CN"/>
              </w:rPr>
            </w:pPr>
            <w:r>
              <w:rPr>
                <w:rFonts w:hint="default" w:ascii="Cambria" w:hAnsi="Cambria" w:eastAsia="Times New Roman" w:cs="Times New Roman"/>
                <w:b/>
                <w:sz w:val="20"/>
                <w:lang w:val="ro-RO" w:eastAsia="zh-CN"/>
              </w:rPr>
              <w:t>Fundamentele regiei de teatru</w:t>
            </w:r>
          </w:p>
        </w:tc>
        <w:tc>
          <w:tcPr>
            <w:tcW w:w="1701" w:type="dxa"/>
            <w:vAlign w:val="center"/>
          </w:tcPr>
          <w:p w14:paraId="76DC4DF3">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Codul disciplinei</w:t>
            </w:r>
          </w:p>
        </w:tc>
        <w:tc>
          <w:tcPr>
            <w:tcW w:w="1560" w:type="dxa"/>
            <w:vAlign w:val="center"/>
          </w:tcPr>
          <w:p w14:paraId="7CA76DD1">
            <w:pPr>
              <w:suppressAutoHyphens/>
              <w:spacing w:after="0" w:line="240" w:lineRule="auto"/>
              <w:rPr>
                <w:rFonts w:ascii="Cambria" w:hAnsi="Cambria" w:eastAsia="Times New Roman" w:cs="Times New Roman"/>
                <w:b/>
                <w:sz w:val="20"/>
                <w:lang w:eastAsia="zh-CN"/>
              </w:rPr>
            </w:pPr>
            <w:r>
              <w:rPr>
                <w:rFonts w:hint="default" w:ascii="Cambria" w:hAnsi="Cambria" w:eastAsia="Times New Roman"/>
                <w:b/>
                <w:sz w:val="20"/>
                <w:lang w:eastAsia="zh-CN"/>
              </w:rPr>
              <w:t>VLR1815</w:t>
            </w:r>
          </w:p>
        </w:tc>
      </w:tr>
      <w:tr w14:paraId="7729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27" w:type="dxa"/>
            <w:gridSpan w:val="4"/>
            <w:vAlign w:val="center"/>
          </w:tcPr>
          <w:p w14:paraId="5B706C4E">
            <w:pPr>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 xml:space="preserve">2.2. Titularul activităților de curs </w:t>
            </w:r>
          </w:p>
        </w:tc>
        <w:tc>
          <w:tcPr>
            <w:tcW w:w="7088" w:type="dxa"/>
            <w:gridSpan w:val="7"/>
            <w:vAlign w:val="center"/>
          </w:tcPr>
          <w:p w14:paraId="02F7CAC0">
            <w:pPr>
              <w:suppressAutoHyphens/>
              <w:spacing w:after="0" w:line="240" w:lineRule="auto"/>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Gabriel Pricop</w:t>
            </w:r>
          </w:p>
        </w:tc>
      </w:tr>
      <w:tr w14:paraId="6941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27" w:type="dxa"/>
            <w:gridSpan w:val="4"/>
            <w:tcBorders>
              <w:bottom w:val="single" w:color="auto" w:sz="4" w:space="0"/>
            </w:tcBorders>
            <w:vAlign w:val="center"/>
          </w:tcPr>
          <w:p w14:paraId="1B089A8B">
            <w:pPr>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 xml:space="preserve">2.3. Titularul activităților de seminar </w:t>
            </w:r>
          </w:p>
        </w:tc>
        <w:tc>
          <w:tcPr>
            <w:tcW w:w="7088" w:type="dxa"/>
            <w:gridSpan w:val="7"/>
            <w:tcBorders>
              <w:bottom w:val="single" w:color="auto" w:sz="4" w:space="0"/>
            </w:tcBorders>
            <w:vAlign w:val="center"/>
          </w:tcPr>
          <w:p w14:paraId="341D75ED">
            <w:pPr>
              <w:suppressAutoHyphens/>
              <w:spacing w:after="0" w:line="240" w:lineRule="auto"/>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Mihai Gligan</w:t>
            </w:r>
          </w:p>
        </w:tc>
      </w:tr>
      <w:tr w14:paraId="5663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68" w:type="dxa"/>
            <w:tcBorders>
              <w:top w:val="single" w:color="auto" w:sz="4" w:space="0"/>
              <w:left w:val="single" w:color="auto" w:sz="4" w:space="0"/>
              <w:bottom w:val="single" w:color="auto" w:sz="4" w:space="0"/>
              <w:right w:val="single" w:color="auto" w:sz="4" w:space="0"/>
            </w:tcBorders>
            <w:vAlign w:val="center"/>
          </w:tcPr>
          <w:p w14:paraId="1EF2D049">
            <w:pPr>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vAlign w:val="center"/>
          </w:tcPr>
          <w:p w14:paraId="642D3A83">
            <w:pPr>
              <w:suppressAutoHyphens/>
              <w:spacing w:after="0" w:line="240" w:lineRule="auto"/>
              <w:jc w:val="center"/>
              <w:rPr>
                <w:rFonts w:hint="default" w:ascii="Cambria" w:hAnsi="Cambria" w:eastAsia="Times New Roman" w:cs="Times New Roman"/>
                <w:color w:val="auto"/>
                <w:sz w:val="20"/>
                <w:lang w:val="ro-RO" w:eastAsia="zh-CN"/>
              </w:rPr>
            </w:pPr>
            <w:r>
              <w:rPr>
                <w:rFonts w:hint="default" w:ascii="Cambria" w:hAnsi="Cambria" w:eastAsia="Times New Roman" w:cs="Times New Roman"/>
                <w:color w:val="auto"/>
                <w:sz w:val="20"/>
                <w:lang w:val="ro-RO" w:eastAsia="zh-CN"/>
              </w:rPr>
              <w:t>I</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362AA40F">
            <w:pPr>
              <w:suppressAutoHyphens/>
              <w:spacing w:after="0" w:line="240" w:lineRule="auto"/>
              <w:ind w:right="-203"/>
              <w:rPr>
                <w:rFonts w:ascii="Cambria" w:hAnsi="Cambria" w:eastAsia="Times New Roman" w:cs="Times New Roman"/>
                <w:sz w:val="20"/>
                <w:lang w:eastAsia="zh-CN"/>
              </w:rPr>
            </w:pPr>
            <w:r>
              <w:rPr>
                <w:rFonts w:ascii="Cambria" w:hAnsi="Cambria" w:eastAsia="Times New Roman" w:cs="Times New Roman"/>
                <w:sz w:val="20"/>
                <w:lang w:eastAsia="zh-CN"/>
              </w:rPr>
              <w:t>2.5. Semestrul</w:t>
            </w:r>
          </w:p>
        </w:tc>
        <w:tc>
          <w:tcPr>
            <w:tcW w:w="567" w:type="dxa"/>
            <w:tcBorders>
              <w:top w:val="single" w:color="auto" w:sz="4" w:space="0"/>
              <w:left w:val="single" w:color="auto" w:sz="4" w:space="0"/>
              <w:bottom w:val="single" w:color="auto" w:sz="4" w:space="0"/>
              <w:right w:val="single" w:color="auto" w:sz="4" w:space="0"/>
            </w:tcBorders>
            <w:vAlign w:val="center"/>
          </w:tcPr>
          <w:p w14:paraId="1CE49F94">
            <w:pPr>
              <w:suppressAutoHyphens/>
              <w:spacing w:after="0" w:line="240" w:lineRule="auto"/>
              <w:jc w:val="center"/>
              <w:rPr>
                <w:rFonts w:hint="default" w:ascii="Cambria" w:hAnsi="Cambria" w:eastAsia="Times New Roman" w:cs="Times New Roman"/>
                <w:color w:val="auto"/>
                <w:sz w:val="20"/>
                <w:lang w:val="ro-RO" w:eastAsia="zh-CN"/>
              </w:rPr>
            </w:pPr>
            <w:r>
              <w:rPr>
                <w:rFonts w:hint="default" w:ascii="Cambria" w:hAnsi="Cambria" w:eastAsia="Times New Roman" w:cs="Times New Roman"/>
                <w:color w:val="auto"/>
                <w:sz w:val="20"/>
                <w:lang w:val="ro-RO" w:eastAsia="zh-CN"/>
              </w:rPr>
              <w:t>1</w:t>
            </w:r>
          </w:p>
        </w:tc>
        <w:tc>
          <w:tcPr>
            <w:tcW w:w="1701" w:type="dxa"/>
            <w:tcBorders>
              <w:top w:val="single" w:color="auto" w:sz="4" w:space="0"/>
              <w:left w:val="single" w:color="auto" w:sz="4" w:space="0"/>
              <w:bottom w:val="single" w:color="auto" w:sz="4" w:space="0"/>
              <w:right w:val="single" w:color="auto" w:sz="4" w:space="0"/>
            </w:tcBorders>
            <w:vAlign w:val="center"/>
          </w:tcPr>
          <w:p w14:paraId="09CAB93A">
            <w:pPr>
              <w:suppressAutoHyphens/>
              <w:spacing w:after="0" w:line="240" w:lineRule="auto"/>
              <w:ind w:right="-288"/>
              <w:rPr>
                <w:rFonts w:ascii="Cambria" w:hAnsi="Cambria" w:eastAsia="Times New Roman" w:cs="Times New Roman"/>
                <w:sz w:val="20"/>
                <w:lang w:eastAsia="zh-CN"/>
              </w:rPr>
            </w:pPr>
            <w:r>
              <w:rPr>
                <w:rFonts w:ascii="Cambria" w:hAnsi="Cambria" w:eastAsia="Times New Roman" w:cs="Times New Roman"/>
                <w:sz w:val="20"/>
                <w:lang w:eastAsia="zh-CN"/>
              </w:rPr>
              <w:t xml:space="preserve">2.6. Tipul </w:t>
            </w:r>
          </w:p>
          <w:p w14:paraId="41308BFC">
            <w:pPr>
              <w:suppressAutoHyphens/>
              <w:spacing w:after="0" w:line="240" w:lineRule="auto"/>
              <w:ind w:right="-288"/>
              <w:rPr>
                <w:rFonts w:ascii="Cambria" w:hAnsi="Cambria" w:eastAsia="Times New Roman" w:cs="Times New Roman"/>
                <w:sz w:val="20"/>
                <w:lang w:eastAsia="zh-CN"/>
              </w:rPr>
            </w:pPr>
            <w:r>
              <w:rPr>
                <w:rFonts w:ascii="Cambria" w:hAnsi="Cambria" w:eastAsia="Times New Roman" w:cs="Times New Roman"/>
                <w:sz w:val="20"/>
                <w:lang w:eastAsia="zh-CN"/>
              </w:rPr>
              <w:t>de evaluare</w:t>
            </w:r>
          </w:p>
        </w:tc>
        <w:tc>
          <w:tcPr>
            <w:tcW w:w="567" w:type="dxa"/>
            <w:tcBorders>
              <w:top w:val="single" w:color="auto" w:sz="4" w:space="0"/>
              <w:left w:val="single" w:color="auto" w:sz="4" w:space="0"/>
              <w:bottom w:val="single" w:color="auto" w:sz="4" w:space="0"/>
              <w:right w:val="single" w:color="auto" w:sz="4" w:space="0"/>
            </w:tcBorders>
            <w:vAlign w:val="center"/>
          </w:tcPr>
          <w:p w14:paraId="7E7718F0">
            <w:pPr>
              <w:suppressAutoHyphens/>
              <w:spacing w:after="0" w:line="240" w:lineRule="auto"/>
              <w:jc w:val="center"/>
              <w:rPr>
                <w:rFonts w:hint="default" w:ascii="Cambria" w:hAnsi="Cambria" w:eastAsia="Times New Roman" w:cs="Times New Roman"/>
                <w:color w:val="FF0000"/>
                <w:sz w:val="20"/>
                <w:lang w:val="ro-RO" w:eastAsia="zh-CN"/>
              </w:rPr>
            </w:pPr>
            <w:r>
              <w:rPr>
                <w:rFonts w:hint="default" w:ascii="Cambria" w:hAnsi="Cambria" w:eastAsia="Times New Roman" w:cs="Times New Roman"/>
                <w:color w:val="auto"/>
                <w:sz w:val="20"/>
                <w:lang w:val="ro-RO" w:eastAsia="zh-CN"/>
              </w:rPr>
              <w:t>E</w:t>
            </w: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3A049996">
            <w:pPr>
              <w:suppressAutoHyphens/>
              <w:spacing w:after="0" w:line="240" w:lineRule="auto"/>
              <w:rPr>
                <w:rFonts w:ascii="Cambria" w:hAnsi="Cambria" w:eastAsia="Times New Roman" w:cs="Times New Roman"/>
                <w:sz w:val="20"/>
                <w:vertAlign w:val="superscript"/>
                <w:lang w:eastAsia="zh-CN"/>
              </w:rPr>
            </w:pPr>
            <w:r>
              <w:rPr>
                <w:rFonts w:ascii="Cambria" w:hAnsi="Cambria" w:eastAsia="Times New Roman" w:cs="Times New Roman"/>
                <w:sz w:val="20"/>
                <w:lang w:eastAsia="zh-CN"/>
              </w:rPr>
              <w:t>2.7. Regimul disciplinei</w:t>
            </w:r>
          </w:p>
        </w:tc>
        <w:tc>
          <w:tcPr>
            <w:tcW w:w="1560" w:type="dxa"/>
            <w:tcBorders>
              <w:top w:val="single" w:color="auto" w:sz="4" w:space="0"/>
              <w:left w:val="single" w:color="auto" w:sz="4" w:space="0"/>
              <w:right w:val="single" w:color="auto" w:sz="4" w:space="0"/>
            </w:tcBorders>
            <w:vAlign w:val="center"/>
          </w:tcPr>
          <w:p w14:paraId="20F79D8D">
            <w:pPr>
              <w:suppressAutoHyphens/>
              <w:spacing w:after="0" w:line="240" w:lineRule="auto"/>
              <w:rPr>
                <w:rFonts w:hint="default" w:ascii="Cambria" w:hAnsi="Cambria" w:eastAsia="Times New Roman" w:cs="Times New Roman"/>
                <w:color w:val="auto"/>
                <w:sz w:val="18"/>
                <w:lang w:val="ro-RO" w:eastAsia="zh-CN"/>
              </w:rPr>
            </w:pPr>
            <w:r>
              <w:rPr>
                <w:rFonts w:hint="default" w:ascii="Cambria" w:hAnsi="Cambria" w:eastAsia="Times New Roman" w:cs="Times New Roman"/>
                <w:color w:val="auto"/>
                <w:sz w:val="18"/>
                <w:lang w:val="ro-RO" w:eastAsia="zh-CN"/>
              </w:rPr>
              <w:t>Ob</w:t>
            </w:r>
          </w:p>
        </w:tc>
      </w:tr>
    </w:tbl>
    <w:p w14:paraId="6E504759">
      <w:pPr>
        <w:suppressAutoHyphens/>
        <w:spacing w:after="0"/>
        <w:ind w:right="-765" w:firstLine="720"/>
        <w:rPr>
          <w:rFonts w:ascii="Cambria" w:hAnsi="Cambria"/>
          <w:sz w:val="20"/>
          <w:szCs w:val="20"/>
        </w:rPr>
      </w:pPr>
    </w:p>
    <w:p w14:paraId="59DB4156">
      <w:pPr>
        <w:suppressAutoHyphens/>
        <w:spacing w:after="0" w:line="240" w:lineRule="auto"/>
        <w:ind w:right="-766" w:hanging="426"/>
        <w:rPr>
          <w:rFonts w:ascii="Cambria" w:hAnsi="Cambria" w:eastAsia="Times New Roman" w:cs="Times New Roman"/>
          <w:sz w:val="20"/>
          <w:lang w:eastAsia="zh-CN"/>
        </w:rPr>
      </w:pPr>
      <w:r>
        <w:rPr>
          <w:rFonts w:ascii="Cambria" w:hAnsi="Cambria" w:eastAsia="Times New Roman" w:cs="Times New Roman"/>
          <w:b/>
          <w:sz w:val="20"/>
          <w:lang w:eastAsia="zh-CN"/>
        </w:rPr>
        <w:t xml:space="preserve">3. Timpul total estimat </w:t>
      </w:r>
      <w:r>
        <w:rPr>
          <w:rFonts w:ascii="Cambria" w:hAnsi="Cambria" w:eastAsia="Times New Roman" w:cs="Times New Roman"/>
          <w:sz w:val="20"/>
          <w:lang w:eastAsia="zh-CN"/>
        </w:rPr>
        <w:t>(ore pe semestru al activităților didactice)</w:t>
      </w:r>
    </w:p>
    <w:tbl>
      <w:tblPr>
        <w:tblStyle w:val="12"/>
        <w:tblpPr w:leftFromText="180" w:rightFromText="180" w:vertAnchor="text" w:tblpX="-408"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9"/>
        <w:gridCol w:w="851"/>
        <w:gridCol w:w="1842"/>
        <w:gridCol w:w="284"/>
        <w:gridCol w:w="425"/>
        <w:gridCol w:w="2977"/>
        <w:gridCol w:w="567"/>
      </w:tblGrid>
      <w:tr w14:paraId="4BEA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539" w:type="dxa"/>
            <w:tcBorders>
              <w:bottom w:val="single" w:color="auto" w:sz="4" w:space="0"/>
            </w:tcBorders>
            <w:vAlign w:val="center"/>
          </w:tcPr>
          <w:p w14:paraId="4ED6BC3C">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3.1. Număr de ore pe săptămână </w:t>
            </w:r>
          </w:p>
        </w:tc>
        <w:tc>
          <w:tcPr>
            <w:tcW w:w="851" w:type="dxa"/>
            <w:tcBorders>
              <w:bottom w:val="single" w:color="auto" w:sz="4" w:space="0"/>
            </w:tcBorders>
            <w:vAlign w:val="center"/>
          </w:tcPr>
          <w:p w14:paraId="1F001A6C">
            <w:pPr>
              <w:suppressAutoHyphens/>
              <w:spacing w:after="0" w:line="240" w:lineRule="auto"/>
              <w:jc w:val="center"/>
              <w:rPr>
                <w:rFonts w:ascii="Cambria" w:hAnsi="Cambria" w:eastAsia="Times New Roman" w:cs="Times New Roman"/>
                <w:b/>
                <w:bCs/>
                <w:sz w:val="20"/>
                <w:szCs w:val="20"/>
                <w:lang w:eastAsia="zh-CN"/>
              </w:rPr>
            </w:pPr>
            <w:r>
              <w:rPr>
                <w:rFonts w:ascii="Cambria" w:hAnsi="Cambria" w:eastAsia="Times New Roman" w:cs="Times New Roman"/>
                <w:b/>
                <w:bCs/>
                <w:sz w:val="20"/>
                <w:szCs w:val="20"/>
                <w:lang w:eastAsia="zh-CN"/>
              </w:rPr>
              <w:t>6</w:t>
            </w:r>
          </w:p>
        </w:tc>
        <w:tc>
          <w:tcPr>
            <w:tcW w:w="1842" w:type="dxa"/>
            <w:tcBorders>
              <w:bottom w:val="single" w:color="auto" w:sz="4" w:space="0"/>
            </w:tcBorders>
            <w:vAlign w:val="center"/>
          </w:tcPr>
          <w:p w14:paraId="620265CB">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din care: 3.2. curs</w:t>
            </w:r>
          </w:p>
        </w:tc>
        <w:tc>
          <w:tcPr>
            <w:tcW w:w="709" w:type="dxa"/>
            <w:gridSpan w:val="2"/>
            <w:tcBorders>
              <w:bottom w:val="single" w:color="auto" w:sz="4" w:space="0"/>
            </w:tcBorders>
            <w:vAlign w:val="center"/>
          </w:tcPr>
          <w:p w14:paraId="1107FE4E">
            <w:pPr>
              <w:suppressAutoHyphens/>
              <w:spacing w:after="0" w:line="240" w:lineRule="auto"/>
              <w:jc w:val="center"/>
              <w:rPr>
                <w:rFonts w:ascii="Cambria" w:hAnsi="Cambria" w:eastAsia="Times New Roman" w:cs="Times New Roman"/>
                <w:b/>
                <w:bCs/>
                <w:sz w:val="20"/>
                <w:szCs w:val="20"/>
                <w:lang w:eastAsia="zh-CN"/>
              </w:rPr>
            </w:pPr>
            <w:r>
              <w:rPr>
                <w:rFonts w:ascii="Cambria" w:hAnsi="Cambria" w:eastAsia="Times New Roman" w:cs="Times New Roman"/>
                <w:b/>
                <w:bCs/>
                <w:sz w:val="20"/>
                <w:szCs w:val="20"/>
                <w:lang w:eastAsia="zh-CN"/>
              </w:rPr>
              <w:t>2</w:t>
            </w:r>
          </w:p>
        </w:tc>
        <w:tc>
          <w:tcPr>
            <w:tcW w:w="2977" w:type="dxa"/>
            <w:tcBorders>
              <w:bottom w:val="single" w:color="auto" w:sz="4" w:space="0"/>
            </w:tcBorders>
            <w:vAlign w:val="center"/>
          </w:tcPr>
          <w:p w14:paraId="7D508169">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3.3. seminar/ laborator/ proiect</w:t>
            </w:r>
          </w:p>
        </w:tc>
        <w:tc>
          <w:tcPr>
            <w:tcW w:w="567" w:type="dxa"/>
            <w:tcBorders>
              <w:bottom w:val="single" w:color="auto" w:sz="4" w:space="0"/>
            </w:tcBorders>
            <w:shd w:val="clear" w:color="auto" w:fill="auto"/>
            <w:vAlign w:val="center"/>
          </w:tcPr>
          <w:p w14:paraId="1481A02B">
            <w:pPr>
              <w:suppressLineNumbers w:val="0"/>
              <w:bidi w:val="0"/>
              <w:spacing w:before="0" w:beforeAutospacing="0" w:after="0" w:afterAutospacing="0" w:line="240" w:lineRule="auto"/>
              <w:ind w:left="0" w:right="0"/>
              <w:jc w:val="center"/>
            </w:pPr>
            <w:r>
              <w:rPr>
                <w:rFonts w:ascii="Cambria" w:hAnsi="Cambria" w:eastAsia="Times New Roman" w:cs="Times New Roman"/>
                <w:b/>
                <w:bCs/>
                <w:sz w:val="20"/>
                <w:szCs w:val="20"/>
                <w:lang w:eastAsia="zh-CN"/>
              </w:rPr>
              <w:t>4</w:t>
            </w:r>
          </w:p>
        </w:tc>
      </w:tr>
      <w:tr w14:paraId="4ED61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539" w:type="dxa"/>
            <w:shd w:val="clear" w:color="auto" w:fill="auto"/>
            <w:vAlign w:val="center"/>
          </w:tcPr>
          <w:p w14:paraId="77410C8B">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3.4. Total ore din planul de învățământ</w:t>
            </w:r>
          </w:p>
        </w:tc>
        <w:tc>
          <w:tcPr>
            <w:tcW w:w="851" w:type="dxa"/>
            <w:shd w:val="clear" w:color="auto" w:fill="auto"/>
            <w:vAlign w:val="center"/>
          </w:tcPr>
          <w:p w14:paraId="158B1893">
            <w:pPr>
              <w:suppressAutoHyphens/>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84</w:t>
            </w:r>
          </w:p>
        </w:tc>
        <w:tc>
          <w:tcPr>
            <w:tcW w:w="1842" w:type="dxa"/>
            <w:shd w:val="clear" w:color="auto" w:fill="auto"/>
            <w:vAlign w:val="center"/>
          </w:tcPr>
          <w:p w14:paraId="23109F7F">
            <w:pPr>
              <w:suppressAutoHyphens/>
              <w:spacing w:after="0" w:line="240" w:lineRule="auto"/>
              <w:rPr>
                <w:rFonts w:ascii="Cambria" w:hAnsi="Cambria" w:eastAsia="Times New Roman" w:cs="Times New Roman"/>
                <w:color w:val="FF0000"/>
                <w:sz w:val="20"/>
                <w:lang w:eastAsia="zh-CN"/>
              </w:rPr>
            </w:pPr>
            <w:r>
              <w:rPr>
                <w:rFonts w:ascii="Cambria" w:hAnsi="Cambria" w:eastAsia="Times New Roman" w:cs="Times New Roman"/>
                <w:bCs/>
                <w:sz w:val="20"/>
                <w:lang w:eastAsia="zh-CN"/>
              </w:rPr>
              <w:t>din care: 3.5.</w:t>
            </w:r>
            <w:r>
              <w:rPr>
                <w:rFonts w:ascii="Cambria" w:hAnsi="Cambria" w:eastAsia="Times New Roman" w:cs="Times New Roman"/>
                <w:b/>
                <w:sz w:val="20"/>
                <w:lang w:eastAsia="zh-CN"/>
              </w:rPr>
              <w:t xml:space="preserve"> </w:t>
            </w:r>
            <w:r>
              <w:rPr>
                <w:rFonts w:ascii="Cambria" w:hAnsi="Cambria" w:eastAsia="Times New Roman" w:cs="Times New Roman"/>
                <w:sz w:val="20"/>
                <w:lang w:eastAsia="zh-CN"/>
              </w:rPr>
              <w:t>curs</w:t>
            </w:r>
            <w:r>
              <w:rPr>
                <w:rFonts w:ascii="Cambria" w:hAnsi="Cambria" w:eastAsia="Times New Roman" w:cs="Times New Roman"/>
                <w:color w:val="FF0000"/>
                <w:sz w:val="20"/>
                <w:lang w:eastAsia="zh-CN"/>
              </w:rPr>
              <w:t xml:space="preserve"> </w:t>
            </w:r>
          </w:p>
        </w:tc>
        <w:tc>
          <w:tcPr>
            <w:tcW w:w="709" w:type="dxa"/>
            <w:gridSpan w:val="2"/>
            <w:vAlign w:val="center"/>
          </w:tcPr>
          <w:p w14:paraId="4FC38FB2">
            <w:pPr>
              <w:suppressAutoHyphens/>
              <w:spacing w:after="0" w:line="240" w:lineRule="auto"/>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28</w:t>
            </w:r>
          </w:p>
        </w:tc>
        <w:tc>
          <w:tcPr>
            <w:tcW w:w="2977" w:type="dxa"/>
            <w:vAlign w:val="center"/>
          </w:tcPr>
          <w:p w14:paraId="283FA802">
            <w:pPr>
              <w:suppressAutoHyphens/>
              <w:spacing w:after="0" w:line="240" w:lineRule="auto"/>
              <w:rPr>
                <w:rFonts w:ascii="Cambria" w:hAnsi="Cambria" w:eastAsia="Times New Roman" w:cs="Times New Roman"/>
                <w:bCs/>
                <w:sz w:val="20"/>
                <w:lang w:eastAsia="zh-CN"/>
              </w:rPr>
            </w:pPr>
            <w:r>
              <w:rPr>
                <w:rFonts w:ascii="Cambria" w:hAnsi="Cambria" w:eastAsia="Times New Roman" w:cs="Times New Roman"/>
                <w:bCs/>
                <w:sz w:val="20"/>
                <w:lang w:eastAsia="zh-CN"/>
              </w:rPr>
              <w:t>3.6 seminar/laborator</w:t>
            </w:r>
          </w:p>
        </w:tc>
        <w:tc>
          <w:tcPr>
            <w:tcW w:w="567" w:type="dxa"/>
            <w:shd w:val="clear" w:color="auto" w:fill="auto"/>
            <w:vAlign w:val="center"/>
          </w:tcPr>
          <w:p w14:paraId="2D1D0F06">
            <w:pPr>
              <w:keepNext/>
              <w:suppressAutoHyphens/>
              <w:spacing w:after="0" w:line="240" w:lineRule="auto"/>
              <w:jc w:val="center"/>
              <w:outlineLvl w:val="1"/>
              <w:rPr>
                <w:rFonts w:hint="default" w:ascii="Cambria" w:hAnsi="Cambria" w:eastAsia="Times New Roman" w:cs="Times New Roman"/>
                <w:b/>
                <w:sz w:val="20"/>
                <w:lang w:val="ro-RO" w:eastAsia="zh-CN"/>
              </w:rPr>
            </w:pPr>
            <w:r>
              <w:rPr>
                <w:rFonts w:hint="default" w:ascii="Cambria" w:hAnsi="Cambria" w:eastAsia="Times New Roman" w:cs="Times New Roman"/>
                <w:b/>
                <w:sz w:val="20"/>
                <w:lang w:val="ro-RO" w:eastAsia="zh-CN"/>
              </w:rPr>
              <w:t>56</w:t>
            </w:r>
          </w:p>
        </w:tc>
      </w:tr>
      <w:tr w14:paraId="76F48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45238711">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Distribuția fondului de timp pentru studiul individual (SI) și activități de autoinstruire (AI)</w:t>
            </w:r>
          </w:p>
        </w:tc>
        <w:tc>
          <w:tcPr>
            <w:tcW w:w="567" w:type="dxa"/>
            <w:shd w:val="clear" w:color="auto" w:fill="auto"/>
            <w:vAlign w:val="center"/>
          </w:tcPr>
          <w:p w14:paraId="7F017BBA">
            <w:pPr>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ore</w:t>
            </w:r>
          </w:p>
        </w:tc>
      </w:tr>
      <w:tr w14:paraId="099B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1DB76375">
            <w:pPr>
              <w:suppressAutoHyphens/>
              <w:spacing w:after="0" w:line="240" w:lineRule="auto"/>
              <w:rPr>
                <w:rFonts w:ascii="Cambria" w:hAnsi="Cambria" w:eastAsia="Times New Roman" w:cs="Times New Roman"/>
                <w:b/>
                <w:sz w:val="20"/>
                <w:lang w:val="fr-FR" w:eastAsia="zh-CN"/>
              </w:rPr>
            </w:pPr>
            <w:r>
              <w:rPr>
                <w:rFonts w:ascii="Cambria" w:hAnsi="Cambria" w:eastAsia="Times New Roman" w:cs="Times New Roman"/>
                <w:sz w:val="20"/>
                <w:lang w:val="fr-FR" w:eastAsia="zh-CN"/>
              </w:rPr>
              <w:t>Studiul după manual, suport de curs, bibliografie și notițe (AI)</w:t>
            </w:r>
          </w:p>
        </w:tc>
        <w:tc>
          <w:tcPr>
            <w:tcW w:w="567" w:type="dxa"/>
            <w:shd w:val="clear" w:color="auto" w:fill="auto"/>
            <w:vAlign w:val="center"/>
          </w:tcPr>
          <w:p w14:paraId="1F6F3D9F">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18</w:t>
            </w:r>
          </w:p>
        </w:tc>
      </w:tr>
      <w:tr w14:paraId="19B7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381A9F6C">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Documentare suplimentară în bibliotecă, pe platformele electronice de specialitate și pe teren</w:t>
            </w:r>
          </w:p>
        </w:tc>
        <w:tc>
          <w:tcPr>
            <w:tcW w:w="567" w:type="dxa"/>
            <w:shd w:val="clear" w:color="auto" w:fill="auto"/>
            <w:vAlign w:val="center"/>
          </w:tcPr>
          <w:p w14:paraId="7062CF4B">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14</w:t>
            </w:r>
          </w:p>
        </w:tc>
      </w:tr>
      <w:tr w14:paraId="0043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2B11982B">
            <w:pPr>
              <w:keepNext/>
              <w:suppressAutoHyphens/>
              <w:spacing w:after="0" w:line="240" w:lineRule="auto"/>
              <w:outlineLvl w:val="1"/>
              <w:rPr>
                <w:rFonts w:ascii="Cambria" w:hAnsi="Cambria" w:eastAsia="Times New Roman" w:cs="Times New Roman"/>
                <w:color w:val="FF0000"/>
                <w:sz w:val="20"/>
                <w:lang w:eastAsia="zh-CN"/>
              </w:rPr>
            </w:pPr>
            <w:r>
              <w:rPr>
                <w:rFonts w:ascii="Cambria" w:hAnsi="Cambria" w:eastAsia="Times New Roman" w:cs="Times New Roman"/>
                <w:sz w:val="20"/>
                <w:lang w:eastAsia="zh-CN"/>
              </w:rPr>
              <w:t xml:space="preserve">Pregătire seminare/ laboratoare/ proiecte, teme, referate, portofolii și eseuri </w:t>
            </w:r>
          </w:p>
        </w:tc>
        <w:tc>
          <w:tcPr>
            <w:tcW w:w="567" w:type="dxa"/>
            <w:shd w:val="clear" w:color="auto" w:fill="auto"/>
            <w:vAlign w:val="center"/>
          </w:tcPr>
          <w:p w14:paraId="5D07688F">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30</w:t>
            </w:r>
          </w:p>
        </w:tc>
      </w:tr>
      <w:tr w14:paraId="078D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2B1463C7">
            <w:pPr>
              <w:keepNext/>
              <w:suppressAutoHyphens/>
              <w:spacing w:after="0" w:line="240" w:lineRule="auto"/>
              <w:outlineLvl w:val="1"/>
              <w:rPr>
                <w:rFonts w:ascii="Cambria" w:hAnsi="Cambria" w:eastAsia="Times New Roman" w:cs="Times New Roman"/>
                <w:sz w:val="20"/>
                <w:lang w:val="en-GB" w:eastAsia="zh-CN"/>
              </w:rPr>
            </w:pPr>
            <w:r>
              <w:rPr>
                <w:rFonts w:ascii="Cambria" w:hAnsi="Cambria" w:eastAsia="Times New Roman" w:cs="Times New Roman"/>
                <w:sz w:val="20"/>
                <w:lang w:eastAsia="zh-CN"/>
              </w:rPr>
              <w:t>Tutoriat (consiliere profesională)</w:t>
            </w:r>
          </w:p>
        </w:tc>
        <w:tc>
          <w:tcPr>
            <w:tcW w:w="567" w:type="dxa"/>
            <w:shd w:val="clear" w:color="auto" w:fill="auto"/>
            <w:vAlign w:val="center"/>
          </w:tcPr>
          <w:p w14:paraId="4844841D">
            <w:pPr>
              <w:keepNext/>
              <w:suppressAutoHyphens/>
              <w:spacing w:after="0" w:line="240" w:lineRule="auto"/>
              <w:jc w:val="center"/>
              <w:outlineLvl w:val="1"/>
              <w:rPr>
                <w:rFonts w:hint="default" w:ascii="Cambria" w:hAnsi="Cambria" w:eastAsia="Times New Roman" w:cs="Times New Roman"/>
                <w:sz w:val="20"/>
                <w:lang w:val="ro-RO" w:eastAsia="zh-CN"/>
              </w:rPr>
            </w:pPr>
          </w:p>
        </w:tc>
      </w:tr>
      <w:tr w14:paraId="2460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4CCF6501">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Examinări </w:t>
            </w:r>
          </w:p>
        </w:tc>
        <w:tc>
          <w:tcPr>
            <w:tcW w:w="567" w:type="dxa"/>
            <w:shd w:val="clear" w:color="auto" w:fill="auto"/>
            <w:vAlign w:val="center"/>
          </w:tcPr>
          <w:p w14:paraId="4B62B253">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4</w:t>
            </w:r>
          </w:p>
        </w:tc>
      </w:tr>
      <w:tr w14:paraId="651F8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13114711">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Alte activităţi </w:t>
            </w:r>
          </w:p>
        </w:tc>
        <w:tc>
          <w:tcPr>
            <w:tcW w:w="567" w:type="dxa"/>
            <w:shd w:val="clear" w:color="auto" w:fill="auto"/>
            <w:vAlign w:val="center"/>
          </w:tcPr>
          <w:p w14:paraId="18E004A9">
            <w:pPr>
              <w:keepNext/>
              <w:suppressAutoHyphens/>
              <w:spacing w:after="0" w:line="240" w:lineRule="auto"/>
              <w:jc w:val="center"/>
              <w:outlineLvl w:val="1"/>
              <w:rPr>
                <w:rFonts w:hint="default" w:ascii="Cambria" w:hAnsi="Cambria" w:eastAsia="Times New Roman" w:cs="Times New Roman"/>
                <w:sz w:val="20"/>
                <w:lang w:val="ro-RO" w:eastAsia="zh-CN"/>
              </w:rPr>
            </w:pPr>
          </w:p>
        </w:tc>
      </w:tr>
      <w:tr w14:paraId="51A2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16" w:type="dxa"/>
            <w:gridSpan w:val="4"/>
            <w:shd w:val="clear" w:color="auto" w:fill="auto"/>
            <w:vAlign w:val="center"/>
          </w:tcPr>
          <w:p w14:paraId="05321DBF">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3.7. Total ore studiu individual (SI) și activități de autoinstruire (AI)</w:t>
            </w:r>
          </w:p>
        </w:tc>
        <w:tc>
          <w:tcPr>
            <w:tcW w:w="3969" w:type="dxa"/>
            <w:gridSpan w:val="3"/>
            <w:shd w:val="clear" w:color="auto" w:fill="auto"/>
            <w:vAlign w:val="center"/>
          </w:tcPr>
          <w:p w14:paraId="6EABD8A3">
            <w:pPr>
              <w:keepNext/>
              <w:suppressAutoHyphens/>
              <w:spacing w:after="0" w:line="240" w:lineRule="auto"/>
              <w:jc w:val="center"/>
              <w:outlineLvl w:val="1"/>
              <w:rPr>
                <w:rFonts w:hint="default" w:ascii="Cambria" w:hAnsi="Cambria" w:eastAsia="Times New Roman" w:cs="Times New Roman"/>
                <w:b/>
                <w:bCs/>
                <w:sz w:val="20"/>
                <w:szCs w:val="20"/>
                <w:lang w:val="ro-RO" w:eastAsia="zh-CN"/>
              </w:rPr>
            </w:pPr>
            <w:r>
              <w:rPr>
                <w:rFonts w:hint="default" w:ascii="Cambria" w:hAnsi="Cambria" w:eastAsia="Times New Roman" w:cs="Times New Roman"/>
                <w:b/>
                <w:bCs/>
                <w:sz w:val="20"/>
                <w:szCs w:val="20"/>
                <w:lang w:val="ro-RO" w:eastAsia="zh-CN"/>
              </w:rPr>
              <w:t>66</w:t>
            </w:r>
          </w:p>
        </w:tc>
      </w:tr>
      <w:tr w14:paraId="03E7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16" w:type="dxa"/>
            <w:gridSpan w:val="4"/>
            <w:shd w:val="clear" w:color="auto" w:fill="auto"/>
            <w:vAlign w:val="center"/>
          </w:tcPr>
          <w:p w14:paraId="48E731BB">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3.8. Total ore pe semestru</w:t>
            </w:r>
          </w:p>
        </w:tc>
        <w:tc>
          <w:tcPr>
            <w:tcW w:w="3969" w:type="dxa"/>
            <w:gridSpan w:val="3"/>
            <w:shd w:val="clear" w:color="auto" w:fill="auto"/>
            <w:vAlign w:val="center"/>
          </w:tcPr>
          <w:p w14:paraId="686BA008">
            <w:pPr>
              <w:keepNext/>
              <w:suppressAutoHyphens/>
              <w:spacing w:after="0" w:line="240" w:lineRule="auto"/>
              <w:jc w:val="center"/>
              <w:outlineLvl w:val="1"/>
              <w:rPr>
                <w:rFonts w:hint="default" w:ascii="Cambria" w:hAnsi="Cambria" w:eastAsia="Times New Roman" w:cs="Times New Roman"/>
                <w:b/>
                <w:bCs/>
                <w:sz w:val="20"/>
                <w:szCs w:val="20"/>
                <w:lang w:val="ro-RO" w:eastAsia="zh-CN"/>
              </w:rPr>
            </w:pPr>
            <w:r>
              <w:rPr>
                <w:rFonts w:ascii="Cambria" w:hAnsi="Cambria" w:eastAsia="Times New Roman" w:cs="Times New Roman"/>
                <w:b/>
                <w:bCs/>
                <w:sz w:val="20"/>
                <w:szCs w:val="20"/>
                <w:lang w:eastAsia="zh-CN"/>
              </w:rPr>
              <w:t>1</w:t>
            </w:r>
            <w:r>
              <w:rPr>
                <w:rFonts w:hint="default" w:ascii="Cambria" w:hAnsi="Cambria" w:eastAsia="Times New Roman" w:cs="Times New Roman"/>
                <w:b/>
                <w:bCs/>
                <w:sz w:val="20"/>
                <w:szCs w:val="20"/>
                <w:lang w:val="ro-RO" w:eastAsia="zh-CN"/>
              </w:rPr>
              <w:t>50</w:t>
            </w:r>
          </w:p>
        </w:tc>
      </w:tr>
      <w:tr w14:paraId="29D10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16" w:type="dxa"/>
            <w:gridSpan w:val="4"/>
            <w:shd w:val="clear" w:color="auto" w:fill="auto"/>
            <w:vAlign w:val="center"/>
          </w:tcPr>
          <w:p w14:paraId="57B1019E">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3.9. Numărul de credite</w:t>
            </w:r>
          </w:p>
        </w:tc>
        <w:tc>
          <w:tcPr>
            <w:tcW w:w="3969" w:type="dxa"/>
            <w:gridSpan w:val="3"/>
            <w:shd w:val="clear" w:color="auto" w:fill="auto"/>
            <w:vAlign w:val="center"/>
          </w:tcPr>
          <w:p w14:paraId="3C97E24A">
            <w:pPr>
              <w:keepNext/>
              <w:suppressAutoHyphens/>
              <w:spacing w:after="0" w:line="240" w:lineRule="auto"/>
              <w:jc w:val="center"/>
              <w:outlineLvl w:val="1"/>
              <w:rPr>
                <w:rFonts w:hint="default" w:ascii="Cambria" w:hAnsi="Cambria" w:eastAsia="Times New Roman" w:cs="Times New Roman"/>
                <w:b/>
                <w:bCs/>
                <w:sz w:val="20"/>
                <w:szCs w:val="20"/>
                <w:lang w:val="ro-RO" w:eastAsia="zh-CN"/>
              </w:rPr>
            </w:pPr>
            <w:r>
              <w:rPr>
                <w:rFonts w:hint="default" w:ascii="Cambria" w:hAnsi="Cambria" w:eastAsia="Times New Roman" w:cs="Times New Roman"/>
                <w:b/>
                <w:bCs/>
                <w:sz w:val="20"/>
                <w:szCs w:val="20"/>
                <w:lang w:val="ro-RO" w:eastAsia="zh-CN"/>
              </w:rPr>
              <w:t>6</w:t>
            </w:r>
          </w:p>
        </w:tc>
      </w:tr>
    </w:tbl>
    <w:p w14:paraId="61963589">
      <w:pPr>
        <w:suppressAutoHyphens/>
        <w:spacing w:after="0" w:line="240" w:lineRule="auto"/>
        <w:ind w:left="-284"/>
        <w:jc w:val="both"/>
        <w:rPr>
          <w:rFonts w:ascii="Cambria" w:hAnsi="Cambria" w:eastAsia="Times New Roman" w:cs="Times New Roman"/>
          <w:b/>
          <w:sz w:val="20"/>
          <w:lang w:eastAsia="zh-CN"/>
        </w:rPr>
      </w:pPr>
    </w:p>
    <w:p w14:paraId="7F75857F">
      <w:pPr>
        <w:suppressAutoHyphens/>
        <w:spacing w:after="0" w:line="240" w:lineRule="auto"/>
        <w:ind w:left="-284" w:hanging="142"/>
        <w:jc w:val="both"/>
        <w:rPr>
          <w:rFonts w:ascii="Cambria" w:hAnsi="Cambria" w:eastAsia="Times New Roman" w:cs="Times New Roman"/>
          <w:sz w:val="20"/>
          <w:lang w:eastAsia="zh-CN"/>
        </w:rPr>
      </w:pPr>
      <w:r>
        <w:rPr>
          <w:rFonts w:ascii="Cambria" w:hAnsi="Cambria" w:eastAsia="Times New Roman" w:cs="Times New Roman"/>
          <w:b/>
          <w:sz w:val="20"/>
          <w:lang w:eastAsia="zh-CN"/>
        </w:rPr>
        <w:t xml:space="preserve">4. Precondiții </w:t>
      </w:r>
      <w:r>
        <w:rPr>
          <w:rFonts w:ascii="Cambria" w:hAnsi="Cambria" w:eastAsia="Times New Roman" w:cs="Times New Roman"/>
          <w:sz w:val="20"/>
          <w:lang w:eastAsia="zh-CN"/>
        </w:rPr>
        <w:t>(acolo unde este cazul)</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8647"/>
      </w:tblGrid>
      <w:tr w14:paraId="7959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44" w:type="dxa"/>
            <w:vAlign w:val="center"/>
          </w:tcPr>
          <w:p w14:paraId="425A42FC">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4.1. de curriculum</w:t>
            </w:r>
          </w:p>
        </w:tc>
        <w:tc>
          <w:tcPr>
            <w:tcW w:w="8647" w:type="dxa"/>
            <w:tcBorders>
              <w:bottom w:val="single" w:color="auto" w:sz="4" w:space="0"/>
            </w:tcBorders>
            <w:vAlign w:val="center"/>
          </w:tcPr>
          <w:p w14:paraId="1BC89717">
            <w:pPr>
              <w:suppressAutoHyphens/>
              <w:spacing w:after="0" w:line="240" w:lineRule="auto"/>
              <w:ind w:left="72"/>
              <w:rPr>
                <w:rFonts w:ascii="Cambria" w:hAnsi="Cambria" w:eastAsia="Times New Roman" w:cs="Times New Roman"/>
                <w:color w:val="FF0000"/>
                <w:sz w:val="20"/>
                <w:lang w:eastAsia="zh-CN"/>
              </w:rPr>
            </w:pPr>
          </w:p>
        </w:tc>
      </w:tr>
      <w:tr w14:paraId="4F603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44" w:type="dxa"/>
            <w:vAlign w:val="center"/>
          </w:tcPr>
          <w:p w14:paraId="66DAD90A">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4.2. de competențe</w:t>
            </w:r>
          </w:p>
        </w:tc>
        <w:tc>
          <w:tcPr>
            <w:tcW w:w="8647" w:type="dxa"/>
            <w:shd w:val="clear" w:color="auto" w:fill="auto"/>
            <w:vAlign w:val="center"/>
          </w:tcPr>
          <w:p w14:paraId="74C547CB">
            <w:pPr>
              <w:suppressAutoHyphens/>
              <w:spacing w:after="0" w:line="240" w:lineRule="auto"/>
              <w:ind w:left="72"/>
              <w:rPr>
                <w:rFonts w:ascii="Cambria" w:hAnsi="Cambria" w:eastAsia="Times New Roman" w:cs="Times New Roman"/>
                <w:sz w:val="20"/>
                <w:lang w:eastAsia="zh-CN"/>
              </w:rPr>
            </w:pPr>
          </w:p>
        </w:tc>
      </w:tr>
    </w:tbl>
    <w:p w14:paraId="3B1A6A87">
      <w:pPr>
        <w:suppressAutoHyphens/>
        <w:spacing w:after="0" w:line="240" w:lineRule="auto"/>
        <w:ind w:right="-766" w:hanging="426"/>
        <w:rPr>
          <w:rFonts w:ascii="Cambria" w:hAnsi="Cambria" w:eastAsia="Times New Roman" w:cs="Times New Roman"/>
          <w:b/>
          <w:sz w:val="20"/>
          <w:lang w:eastAsia="zh-CN"/>
        </w:rPr>
      </w:pPr>
    </w:p>
    <w:p w14:paraId="0587E22E">
      <w:pPr>
        <w:suppressAutoHyphens/>
        <w:spacing w:after="0" w:line="240" w:lineRule="auto"/>
        <w:ind w:hanging="426"/>
        <w:rPr>
          <w:rFonts w:ascii="Cambria" w:hAnsi="Cambria"/>
          <w:sz w:val="20"/>
          <w:szCs w:val="20"/>
        </w:rPr>
      </w:pPr>
      <w:r>
        <w:rPr>
          <w:rFonts w:ascii="Cambria" w:hAnsi="Cambria" w:eastAsia="Times New Roman" w:cs="Times New Roman"/>
          <w:b/>
          <w:sz w:val="20"/>
          <w:lang w:eastAsia="zh-CN"/>
        </w:rPr>
        <w:t xml:space="preserve">5. Condiții </w:t>
      </w:r>
      <w:r>
        <w:rPr>
          <w:rFonts w:ascii="Cambria" w:hAnsi="Cambria" w:eastAsia="Times New Roman" w:cs="Times New Roman"/>
          <w:sz w:val="20"/>
          <w:lang w:eastAsia="zh-CN"/>
        </w:rPr>
        <w:t xml:space="preserve">(acolo </w:t>
      </w:r>
      <w:r>
        <w:rPr>
          <w:rFonts w:ascii="Cambria" w:hAnsi="Cambria"/>
          <w:sz w:val="20"/>
          <w:szCs w:val="20"/>
        </w:rPr>
        <w:t>unde este cazul)</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6044"/>
      </w:tblGrid>
      <w:tr w14:paraId="2312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vAlign w:val="center"/>
          </w:tcPr>
          <w:p w14:paraId="0573268D">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desfășurare a cursului</w:t>
            </w:r>
          </w:p>
        </w:tc>
        <w:tc>
          <w:tcPr>
            <w:tcW w:w="6044" w:type="dxa"/>
            <w:vAlign w:val="center"/>
          </w:tcPr>
          <w:p w14:paraId="7203B2D4">
            <w:pPr>
              <w:pStyle w:val="17"/>
              <w:keepNext w:val="0"/>
              <w:keepLines w:val="0"/>
              <w:widowControl/>
              <w:suppressLineNumbers w:val="0"/>
              <w:rPr>
                <w:b w:val="0"/>
                <w:bCs w:val="0"/>
                <w:sz w:val="20"/>
                <w:szCs w:val="20"/>
              </w:rPr>
            </w:pPr>
            <w:r>
              <w:rPr>
                <w:rFonts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Prezența este </w:t>
            </w:r>
            <w:r>
              <w:rPr>
                <w:rStyle w:val="18"/>
                <w:b w:val="0"/>
                <w:bCs w:val="0"/>
                <w:sz w:val="20"/>
                <w:szCs w:val="20"/>
              </w:rPr>
              <w:t>obligatorie</w:t>
            </w:r>
            <w:r>
              <w:rPr>
                <w:b w:val="0"/>
                <w:bCs w:val="0"/>
                <w:sz w:val="20"/>
                <w:szCs w:val="20"/>
              </w:rPr>
              <w:t xml:space="preserve"> la minimum 80% din totalul orelor. Absențele motivate se pot recupera printr-un </w:t>
            </w:r>
            <w:r>
              <w:rPr>
                <w:rStyle w:val="18"/>
                <w:b w:val="0"/>
                <w:bCs w:val="0"/>
                <w:sz w:val="20"/>
                <w:szCs w:val="20"/>
              </w:rPr>
              <w:t>eseu scris</w:t>
            </w:r>
            <w:r>
              <w:rPr>
                <w:b w:val="0"/>
                <w:bCs w:val="0"/>
                <w:sz w:val="20"/>
                <w:szCs w:val="20"/>
              </w:rPr>
              <w:t xml:space="preserve"> sau </w:t>
            </w:r>
            <w:r>
              <w:rPr>
                <w:rStyle w:val="18"/>
                <w:b w:val="0"/>
                <w:bCs w:val="0"/>
                <w:sz w:val="20"/>
                <w:szCs w:val="20"/>
              </w:rPr>
              <w:t>prezentare tematică</w:t>
            </w:r>
            <w:r>
              <w:rPr>
                <w:b w:val="0"/>
                <w:bCs w:val="0"/>
                <w:sz w:val="20"/>
                <w:szCs w:val="20"/>
              </w:rPr>
              <w:t xml:space="preserve"> stabilită de titularul cursului.</w:t>
            </w:r>
          </w:p>
          <w:p w14:paraId="49904E1D">
            <w:pPr>
              <w:pStyle w:val="17"/>
              <w:keepNext w:val="0"/>
              <w:keepLines w:val="0"/>
              <w:widowControl/>
              <w:suppressLineNumbers w:val="0"/>
              <w:rPr>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Cursurile se desfășoară în regim interactiv; se</w:t>
            </w:r>
            <w:r>
              <w:rPr>
                <w:rFonts w:hint="default"/>
                <w:b w:val="0"/>
                <w:bCs w:val="0"/>
                <w:sz w:val="20"/>
                <w:szCs w:val="20"/>
                <w:lang w:val="ro-RO"/>
              </w:rPr>
              <w:t xml:space="preserve"> </w:t>
            </w:r>
            <w:r>
              <w:rPr>
                <w:b w:val="0"/>
                <w:bCs w:val="0"/>
                <w:sz w:val="20"/>
                <w:szCs w:val="20"/>
              </w:rPr>
              <w:t>încurajează participarea activă și dialogul.</w:t>
            </w:r>
          </w:p>
          <w:p w14:paraId="32E02A5E">
            <w:pPr>
              <w:pStyle w:val="17"/>
              <w:keepNext w:val="0"/>
              <w:keepLines w:val="0"/>
              <w:widowControl/>
              <w:suppressLineNumbers w:val="0"/>
              <w:rPr>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Utilizarea telefoanelor mobile și a altor dispozitive electronice este </w:t>
            </w:r>
            <w:r>
              <w:rPr>
                <w:rStyle w:val="18"/>
                <w:b w:val="0"/>
                <w:bCs w:val="0"/>
                <w:sz w:val="20"/>
                <w:szCs w:val="20"/>
              </w:rPr>
              <w:t>interzisă</w:t>
            </w:r>
            <w:r>
              <w:rPr>
                <w:b w:val="0"/>
                <w:bCs w:val="0"/>
                <w:sz w:val="20"/>
                <w:szCs w:val="20"/>
              </w:rPr>
              <w:t xml:space="preserve"> în timpul cursului, cu excepția cazurilor când acestea sunt folosite în scop documentar sau pentru notițe.</w:t>
            </w:r>
          </w:p>
          <w:p w14:paraId="2D9AB4AF">
            <w:pPr>
              <w:pStyle w:val="17"/>
              <w:keepNext w:val="0"/>
              <w:keepLines w:val="0"/>
              <w:widowControl/>
              <w:suppressLineNumbers w:val="0"/>
              <w:rPr>
                <w:rFonts w:ascii="Cambria" w:hAnsi="Cambria" w:eastAsia="Times New Roman" w:cs="Times New Roman"/>
                <w:b w:val="0"/>
                <w:bCs w:val="0"/>
                <w:sz w:val="20"/>
                <w:szCs w:val="20"/>
                <w:lang w:val="it-IT" w:eastAsia="zh-CN"/>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Studenții sunt rugați să respecte ora de începere a cursului; întârzierea mai mare de 1</w:t>
            </w:r>
            <w:r>
              <w:rPr>
                <w:rFonts w:hint="default"/>
                <w:b w:val="0"/>
                <w:bCs w:val="0"/>
                <w:sz w:val="20"/>
                <w:szCs w:val="20"/>
                <w:lang w:val="ro-RO"/>
              </w:rPr>
              <w:t>5</w:t>
            </w:r>
            <w:r>
              <w:rPr>
                <w:b w:val="0"/>
                <w:bCs w:val="0"/>
                <w:sz w:val="20"/>
                <w:szCs w:val="20"/>
              </w:rPr>
              <w:t xml:space="preserve"> minute poate fi considerată absență.</w:t>
            </w:r>
          </w:p>
        </w:tc>
      </w:tr>
      <w:tr w14:paraId="41B3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vAlign w:val="center"/>
          </w:tcPr>
          <w:p w14:paraId="12ECB82E">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desfășurare a seminarului/ laboratorului</w:t>
            </w:r>
          </w:p>
        </w:tc>
        <w:tc>
          <w:tcPr>
            <w:tcW w:w="6044" w:type="dxa"/>
            <w:vAlign w:val="center"/>
          </w:tcPr>
          <w:p w14:paraId="428489C8">
            <w:pPr>
              <w:pStyle w:val="17"/>
              <w:keepNext w:val="0"/>
              <w:keepLines w:val="0"/>
              <w:widowControl/>
              <w:suppressLineNumbers w:val="0"/>
              <w:rPr>
                <w:b w:val="0"/>
                <w:bCs w:val="0"/>
                <w:sz w:val="20"/>
                <w:szCs w:val="20"/>
              </w:rPr>
            </w:pPr>
            <w:r>
              <w:rPr>
                <w:rFonts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Activitatea practică se desfășoară în </w:t>
            </w:r>
            <w:r>
              <w:rPr>
                <w:rStyle w:val="18"/>
                <w:b w:val="0"/>
                <w:bCs w:val="0"/>
                <w:sz w:val="20"/>
                <w:szCs w:val="20"/>
              </w:rPr>
              <w:t>studio de teatru / sală de repetiții</w:t>
            </w:r>
            <w:r>
              <w:rPr>
                <w:b w:val="0"/>
                <w:bCs w:val="0"/>
                <w:sz w:val="20"/>
                <w:szCs w:val="20"/>
              </w:rPr>
              <w:t>.</w:t>
            </w:r>
          </w:p>
          <w:p w14:paraId="369B6911">
            <w:pPr>
              <w:pStyle w:val="17"/>
              <w:keepNext w:val="0"/>
              <w:keepLines w:val="0"/>
              <w:widowControl/>
              <w:suppressLineNumbers w:val="0"/>
              <w:rPr>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Prezența este </w:t>
            </w:r>
            <w:r>
              <w:rPr>
                <w:rStyle w:val="18"/>
                <w:b w:val="0"/>
                <w:bCs w:val="0"/>
                <w:sz w:val="20"/>
                <w:szCs w:val="20"/>
              </w:rPr>
              <w:t>obligatorie</w:t>
            </w:r>
            <w:r>
              <w:rPr>
                <w:b w:val="0"/>
                <w:bCs w:val="0"/>
                <w:sz w:val="20"/>
                <w:szCs w:val="20"/>
              </w:rPr>
              <w:t xml:space="preserve">; activitățile nu pot fi recuperate decât în cazuri excepționale, prin realizarea unor </w:t>
            </w:r>
            <w:r>
              <w:rPr>
                <w:rStyle w:val="18"/>
                <w:b w:val="0"/>
                <w:bCs w:val="0"/>
                <w:sz w:val="20"/>
                <w:szCs w:val="20"/>
              </w:rPr>
              <w:t>exerciții individuale suplimentare</w:t>
            </w:r>
            <w:r>
              <w:rPr>
                <w:b w:val="0"/>
                <w:bCs w:val="0"/>
                <w:sz w:val="20"/>
                <w:szCs w:val="20"/>
              </w:rPr>
              <w:t>.</w:t>
            </w:r>
          </w:p>
          <w:p w14:paraId="5E9757B3">
            <w:pPr>
              <w:pStyle w:val="17"/>
              <w:keepNext w:val="0"/>
              <w:keepLines w:val="0"/>
              <w:widowControl/>
              <w:suppressLineNumbers w:val="0"/>
              <w:rPr>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Este obligatorie </w:t>
            </w:r>
            <w:r>
              <w:rPr>
                <w:rStyle w:val="18"/>
                <w:b w:val="0"/>
                <w:bCs w:val="0"/>
                <w:sz w:val="20"/>
                <w:szCs w:val="20"/>
              </w:rPr>
              <w:t>ținuta de lucru</w:t>
            </w:r>
            <w:r>
              <w:rPr>
                <w:b w:val="0"/>
                <w:bCs w:val="0"/>
                <w:sz w:val="20"/>
                <w:szCs w:val="20"/>
              </w:rPr>
              <w:t xml:space="preserve"> care să permită libertatea de mișcare (îmbrăcăminte lejeră, încălțăminte </w:t>
            </w:r>
            <w:r>
              <w:rPr>
                <w:rFonts w:hint="default"/>
                <w:b w:val="0"/>
                <w:bCs w:val="0"/>
                <w:sz w:val="20"/>
                <w:szCs w:val="20"/>
                <w:lang w:val="ro-RO"/>
              </w:rPr>
              <w:t>comodă</w:t>
            </w:r>
            <w:r>
              <w:rPr>
                <w:b w:val="0"/>
                <w:bCs w:val="0"/>
                <w:sz w:val="20"/>
                <w:szCs w:val="20"/>
              </w:rPr>
              <w:t>).</w:t>
            </w:r>
          </w:p>
          <w:p w14:paraId="682BA754">
            <w:pPr>
              <w:pStyle w:val="17"/>
              <w:keepNext w:val="0"/>
              <w:keepLines w:val="0"/>
              <w:widowControl/>
              <w:suppressLineNumbers w:val="0"/>
              <w:rPr>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Studenții trebuie să aducă </w:t>
            </w:r>
            <w:r>
              <w:rPr>
                <w:rStyle w:val="18"/>
                <w:b w:val="0"/>
                <w:bCs w:val="0"/>
                <w:sz w:val="20"/>
                <w:szCs w:val="20"/>
              </w:rPr>
              <w:t>rechizite specifice lucrului scenic</w:t>
            </w:r>
            <w:r>
              <w:rPr>
                <w:b w:val="0"/>
                <w:bCs w:val="0"/>
                <w:sz w:val="20"/>
                <w:szCs w:val="20"/>
              </w:rPr>
              <w:t xml:space="preserve"> (caiet, pix, eventual obiecte pentru exerciții de compoziție).</w:t>
            </w:r>
          </w:p>
          <w:p w14:paraId="7708E8AF">
            <w:pPr>
              <w:pStyle w:val="17"/>
              <w:keepNext w:val="0"/>
              <w:keepLines w:val="0"/>
              <w:widowControl/>
              <w:suppressLineNumbers w:val="0"/>
              <w:rPr>
                <w:b w:val="0"/>
                <w:bCs w:val="0"/>
                <w:sz w:val="20"/>
                <w:szCs w:val="20"/>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Se recomandă filmarea propriilor exerciții pentru analiză ulterioară.</w:t>
            </w:r>
          </w:p>
          <w:p w14:paraId="1E6271C3">
            <w:pPr>
              <w:pStyle w:val="17"/>
              <w:keepNext w:val="0"/>
              <w:keepLines w:val="0"/>
              <w:widowControl/>
              <w:suppressLineNumbers w:val="0"/>
              <w:rPr>
                <w:rFonts w:ascii="Cambria" w:hAnsi="Cambria" w:eastAsia="Times New Roman" w:cs="Times New Roman"/>
                <w:b w:val="0"/>
                <w:bCs w:val="0"/>
                <w:sz w:val="20"/>
                <w:szCs w:val="20"/>
                <w:lang w:val="it-IT" w:eastAsia="zh-CN"/>
              </w:rPr>
            </w:pPr>
            <w:r>
              <w:rPr>
                <w:rFonts w:hint="default" w:ascii="Symbol" w:hAnsi="Symbol" w:eastAsia="Symbol" w:cs="Symbol"/>
                <w:b w:val="0"/>
                <w:bCs w:val="0"/>
                <w:sz w:val="20"/>
                <w:szCs w:val="20"/>
              </w:rPr>
              <w:t>·</w:t>
            </w:r>
            <w:r>
              <w:rPr>
                <w:rFonts w:hint="eastAsia" w:ascii="SimSun" w:hAnsi="SimSun" w:eastAsia="SimSun" w:cs="SimSun"/>
                <w:b w:val="0"/>
                <w:bCs w:val="0"/>
                <w:sz w:val="20"/>
                <w:szCs w:val="20"/>
              </w:rPr>
              <w:t xml:space="preserve"> </w:t>
            </w:r>
            <w:r>
              <w:rPr>
                <w:b w:val="0"/>
                <w:bCs w:val="0"/>
                <w:sz w:val="20"/>
                <w:szCs w:val="20"/>
              </w:rPr>
              <w:t xml:space="preserve">Comunicarea cu titularul disciplinei se face </w:t>
            </w:r>
            <w:r>
              <w:rPr>
                <w:rStyle w:val="18"/>
                <w:b w:val="0"/>
                <w:bCs w:val="0"/>
                <w:sz w:val="20"/>
                <w:szCs w:val="20"/>
              </w:rPr>
              <w:t>direct sau prin platformele online</w:t>
            </w:r>
            <w:r>
              <w:rPr>
                <w:b w:val="0"/>
                <w:bCs w:val="0"/>
                <w:sz w:val="20"/>
                <w:szCs w:val="20"/>
              </w:rPr>
              <w:t xml:space="preserve"> (e-mail instituțional).</w:t>
            </w:r>
          </w:p>
        </w:tc>
      </w:tr>
    </w:tbl>
    <w:p w14:paraId="3C1B7549">
      <w:pPr>
        <w:spacing w:after="0"/>
        <w:ind w:hanging="425"/>
        <w:rPr>
          <w:rFonts w:ascii="Cambria" w:hAnsi="Cambria"/>
          <w:b/>
          <w:sz w:val="20"/>
          <w:szCs w:val="20"/>
        </w:rPr>
      </w:pPr>
    </w:p>
    <w:p w14:paraId="778FDF1F">
      <w:pPr>
        <w:spacing w:after="0"/>
        <w:ind w:hanging="425"/>
        <w:rPr>
          <w:rFonts w:ascii="Cambria" w:hAnsi="Cambria"/>
          <w:b/>
          <w:sz w:val="20"/>
          <w:szCs w:val="20"/>
        </w:rPr>
      </w:pPr>
      <w:r>
        <w:rPr>
          <w:rFonts w:ascii="Cambria" w:hAnsi="Cambria"/>
          <w:b/>
          <w:sz w:val="20"/>
          <w:szCs w:val="20"/>
        </w:rPr>
        <w:t>6. Rezultatele învățării</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9639"/>
      </w:tblGrid>
      <w:tr w14:paraId="2D7D0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0" w:hRule="atLeast"/>
        </w:trPr>
        <w:tc>
          <w:tcPr>
            <w:tcW w:w="852" w:type="dxa"/>
            <w:shd w:val="clear" w:color="auto" w:fill="auto"/>
            <w:textDirection w:val="btLr"/>
            <w:vAlign w:val="center"/>
          </w:tcPr>
          <w:p w14:paraId="43C75A0D">
            <w:pPr>
              <w:spacing w:after="0" w:line="240" w:lineRule="auto"/>
              <w:ind w:left="113" w:right="113"/>
              <w:jc w:val="center"/>
              <w:rPr>
                <w:rFonts w:ascii="Cambria" w:hAnsi="Cambria"/>
                <w:b/>
                <w:sz w:val="20"/>
                <w:szCs w:val="20"/>
              </w:rPr>
            </w:pPr>
            <w:r>
              <w:rPr>
                <w:rFonts w:ascii="Cambria" w:hAnsi="Cambria"/>
                <w:b/>
                <w:sz w:val="20"/>
                <w:szCs w:val="20"/>
              </w:rPr>
              <w:t>Cunoștințe</w:t>
            </w:r>
          </w:p>
        </w:tc>
        <w:tc>
          <w:tcPr>
            <w:tcW w:w="9639" w:type="dxa"/>
            <w:shd w:val="clear" w:color="auto" w:fill="auto"/>
            <w:vAlign w:val="center"/>
          </w:tcPr>
          <w:p w14:paraId="38EFE810">
            <w:pPr>
              <w:pStyle w:val="17"/>
              <w:keepNext w:val="0"/>
              <w:keepLines w:val="0"/>
              <w:widowControl/>
              <w:suppressLineNumbers w:val="0"/>
              <w:rPr>
                <w:rFonts w:hint="default" w:ascii="Cambria" w:hAnsi="Cambria" w:cs="Cambria"/>
                <w:sz w:val="20"/>
                <w:szCs w:val="20"/>
              </w:rPr>
            </w:pPr>
            <w:r>
              <w:rPr>
                <w:rFonts w:hint="default" w:ascii="Cambria" w:hAnsi="Cambria" w:cs="Cambria"/>
                <w:sz w:val="20"/>
                <w:szCs w:val="20"/>
              </w:rPr>
              <w:t xml:space="preserve">Studentul cunoaște: </w:t>
            </w:r>
          </w:p>
          <w:p w14:paraId="2A201E23">
            <w:pPr>
              <w:pStyle w:val="17"/>
              <w:keepNext w:val="0"/>
              <w:keepLines w:val="0"/>
              <w:widowControl/>
              <w:numPr>
                <w:ilvl w:val="0"/>
                <w:numId w:val="1"/>
              </w:numPr>
              <w:suppressLineNumbers w:val="0"/>
              <w:ind w:left="420" w:leftChars="0" w:hanging="420" w:firstLineChars="0"/>
              <w:rPr>
                <w:rFonts w:hint="default" w:ascii="Cambria" w:hAnsi="Cambria" w:cs="Cambria"/>
                <w:b w:val="0"/>
                <w:bCs w:val="0"/>
                <w:sz w:val="20"/>
                <w:szCs w:val="20"/>
              </w:rPr>
            </w:pPr>
            <w:r>
              <w:rPr>
                <w:rFonts w:hint="default" w:ascii="Cambria" w:hAnsi="Cambria" w:cs="Cambria"/>
                <w:b w:val="0"/>
                <w:bCs w:val="0"/>
                <w:sz w:val="20"/>
                <w:szCs w:val="20"/>
              </w:rPr>
              <w:t>cunoaște principiile fundamentale ale</w:t>
            </w:r>
            <w:r>
              <w:rPr>
                <w:rFonts w:hint="default" w:ascii="Cambria" w:hAnsi="Cambria" w:cs="Cambria"/>
                <w:b w:val="0"/>
                <w:bCs w:val="0"/>
                <w:sz w:val="20"/>
                <w:szCs w:val="20"/>
                <w:lang w:val="ro-RO"/>
              </w:rPr>
              <w:t xml:space="preserve"> gândirii</w:t>
            </w:r>
            <w:r>
              <w:rPr>
                <w:rStyle w:val="18"/>
                <w:rFonts w:hint="default" w:ascii="Cambria" w:hAnsi="Cambria" w:cs="Cambria"/>
                <w:b w:val="0"/>
                <w:bCs w:val="0"/>
                <w:sz w:val="20"/>
                <w:szCs w:val="20"/>
              </w:rPr>
              <w:t xml:space="preserve"> artistice teatrale</w:t>
            </w:r>
            <w:r>
              <w:rPr>
                <w:rFonts w:hint="default" w:ascii="Cambria" w:hAnsi="Cambria" w:cs="Cambria"/>
                <w:b w:val="0"/>
                <w:bCs w:val="0"/>
                <w:sz w:val="20"/>
                <w:szCs w:val="20"/>
              </w:rPr>
              <w:t xml:space="preserve"> și </w:t>
            </w:r>
            <w:r>
              <w:rPr>
                <w:rFonts w:hint="default" w:ascii="Cambria" w:hAnsi="Cambria" w:cs="Cambria"/>
                <w:b w:val="0"/>
                <w:bCs w:val="0"/>
                <w:sz w:val="20"/>
                <w:szCs w:val="20"/>
                <w:lang w:val="ro-RO"/>
              </w:rPr>
              <w:t xml:space="preserve">învață </w:t>
            </w:r>
            <w:r>
              <w:rPr>
                <w:rFonts w:hint="default" w:ascii="Cambria" w:hAnsi="Cambria" w:cs="Cambria"/>
                <w:b w:val="0"/>
                <w:bCs w:val="0"/>
                <w:sz w:val="20"/>
                <w:szCs w:val="20"/>
              </w:rPr>
              <w:t>etapele procesului regizoral;</w:t>
            </w:r>
          </w:p>
          <w:p w14:paraId="64CF24D1">
            <w:pPr>
              <w:pStyle w:val="17"/>
              <w:keepNext w:val="0"/>
              <w:keepLines w:val="0"/>
              <w:widowControl/>
              <w:numPr>
                <w:ilvl w:val="0"/>
                <w:numId w:val="1"/>
              </w:numPr>
              <w:suppressLineNumbers w:val="0"/>
              <w:ind w:left="420" w:leftChars="0" w:hanging="420" w:firstLineChars="0"/>
              <w:rPr>
                <w:rFonts w:hint="default" w:ascii="Cambria" w:hAnsi="Cambria" w:cs="Cambria"/>
                <w:b w:val="0"/>
                <w:bCs w:val="0"/>
                <w:sz w:val="20"/>
                <w:szCs w:val="20"/>
              </w:rPr>
            </w:pPr>
            <w:r>
              <w:rPr>
                <w:rFonts w:hint="default" w:ascii="Cambria" w:hAnsi="Cambria" w:cs="Cambria"/>
                <w:b w:val="0"/>
                <w:bCs w:val="0"/>
                <w:sz w:val="20"/>
                <w:szCs w:val="20"/>
              </w:rPr>
              <w:t xml:space="preserve">înțelege </w:t>
            </w:r>
            <w:r>
              <w:rPr>
                <w:rStyle w:val="18"/>
                <w:rFonts w:hint="default" w:ascii="Cambria" w:hAnsi="Cambria" w:cs="Cambria"/>
                <w:b w:val="0"/>
                <w:bCs w:val="0"/>
                <w:sz w:val="20"/>
                <w:szCs w:val="20"/>
              </w:rPr>
              <w:t>structura situației dramatice</w:t>
            </w:r>
            <w:r>
              <w:rPr>
                <w:rFonts w:hint="default" w:ascii="Cambria" w:hAnsi="Cambria" w:cs="Cambria"/>
                <w:b w:val="0"/>
                <w:bCs w:val="0"/>
                <w:sz w:val="20"/>
                <w:szCs w:val="20"/>
              </w:rPr>
              <w:t>, noțiunile de conflict, acțiune, mizanscenă, ritm și partitură scenică;</w:t>
            </w:r>
          </w:p>
          <w:p w14:paraId="23140614">
            <w:pPr>
              <w:pStyle w:val="17"/>
              <w:keepNext w:val="0"/>
              <w:keepLines w:val="0"/>
              <w:widowControl/>
              <w:numPr>
                <w:ilvl w:val="0"/>
                <w:numId w:val="1"/>
              </w:numPr>
              <w:suppressLineNumbers w:val="0"/>
              <w:ind w:left="420" w:leftChars="0" w:hanging="420" w:firstLineChars="0"/>
              <w:rPr>
                <w:rFonts w:hint="default" w:ascii="Cambria" w:hAnsi="Cambria" w:cs="Cambria"/>
                <w:b w:val="0"/>
                <w:bCs w:val="0"/>
                <w:sz w:val="20"/>
                <w:szCs w:val="20"/>
              </w:rPr>
            </w:pPr>
            <w:r>
              <w:rPr>
                <w:rFonts w:hint="default" w:ascii="Cambria" w:hAnsi="Cambria" w:cs="Cambria"/>
                <w:b w:val="0"/>
                <w:bCs w:val="0"/>
                <w:sz w:val="20"/>
                <w:szCs w:val="20"/>
              </w:rPr>
              <w:t xml:space="preserve">identifică </w:t>
            </w:r>
            <w:r>
              <w:rPr>
                <w:rStyle w:val="18"/>
                <w:rFonts w:hint="default" w:ascii="Cambria" w:hAnsi="Cambria" w:cs="Cambria"/>
                <w:b w:val="0"/>
                <w:bCs w:val="0"/>
                <w:sz w:val="20"/>
                <w:szCs w:val="20"/>
              </w:rPr>
              <w:t>principalele stiluri regizorale</w:t>
            </w:r>
            <w:r>
              <w:rPr>
                <w:rFonts w:hint="default" w:ascii="Cambria" w:hAnsi="Cambria" w:cs="Cambria"/>
                <w:b w:val="0"/>
                <w:bCs w:val="0"/>
                <w:sz w:val="20"/>
                <w:szCs w:val="20"/>
              </w:rPr>
              <w:t xml:space="preserve"> și înțelege diferențele de viziune asupra actorului și spațiului scenic;</w:t>
            </w:r>
          </w:p>
          <w:p w14:paraId="2D8F7438">
            <w:pPr>
              <w:pStyle w:val="17"/>
              <w:keepNext w:val="0"/>
              <w:keepLines w:val="0"/>
              <w:widowControl/>
              <w:numPr>
                <w:ilvl w:val="0"/>
                <w:numId w:val="1"/>
              </w:numPr>
              <w:suppressLineNumbers w:val="0"/>
              <w:ind w:left="420" w:leftChars="0" w:hanging="420" w:firstLineChars="0"/>
              <w:rPr>
                <w:rFonts w:hint="default" w:ascii="Cambria" w:hAnsi="Cambria" w:cs="Cambria"/>
                <w:b w:val="0"/>
                <w:bCs w:val="0"/>
                <w:sz w:val="20"/>
                <w:szCs w:val="20"/>
              </w:rPr>
            </w:pPr>
            <w:r>
              <w:rPr>
                <w:rFonts w:hint="default" w:ascii="Cambria" w:hAnsi="Cambria" w:cs="Cambria"/>
                <w:b w:val="0"/>
                <w:bCs w:val="0"/>
                <w:sz w:val="20"/>
                <w:szCs w:val="20"/>
              </w:rPr>
              <w:t xml:space="preserve">cunoaște </w:t>
            </w:r>
            <w:r>
              <w:rPr>
                <w:rStyle w:val="18"/>
                <w:rFonts w:hint="default" w:ascii="Cambria" w:hAnsi="Cambria" w:cs="Cambria"/>
                <w:b w:val="0"/>
                <w:bCs w:val="0"/>
                <w:sz w:val="20"/>
                <w:szCs w:val="20"/>
              </w:rPr>
              <w:t>normele de lucru în spațiul scenic</w:t>
            </w:r>
            <w:r>
              <w:rPr>
                <w:rFonts w:hint="default" w:ascii="Cambria" w:hAnsi="Cambria" w:cs="Cambria"/>
                <w:b w:val="0"/>
                <w:bCs w:val="0"/>
                <w:sz w:val="20"/>
                <w:szCs w:val="20"/>
              </w:rPr>
              <w:t xml:space="preserve"> privind siguranța și etica profesională;</w:t>
            </w:r>
          </w:p>
          <w:p w14:paraId="2F7ADB4F">
            <w:pPr>
              <w:pStyle w:val="17"/>
              <w:keepNext w:val="0"/>
              <w:keepLines w:val="0"/>
              <w:widowControl/>
              <w:numPr>
                <w:ilvl w:val="0"/>
                <w:numId w:val="1"/>
              </w:numPr>
              <w:suppressLineNumbers w:val="0"/>
              <w:ind w:left="420" w:leftChars="0" w:hanging="420" w:firstLineChars="0"/>
              <w:rPr>
                <w:rFonts w:hint="default" w:ascii="Cambria" w:hAnsi="Cambria" w:cs="Cambria"/>
                <w:b w:val="0"/>
                <w:bCs w:val="0"/>
                <w:sz w:val="20"/>
                <w:szCs w:val="20"/>
              </w:rPr>
            </w:pPr>
            <w:r>
              <w:rPr>
                <w:rFonts w:hint="default" w:ascii="Cambria" w:hAnsi="Cambria" w:cs="Cambria"/>
                <w:b w:val="0"/>
                <w:bCs w:val="0"/>
                <w:sz w:val="20"/>
                <w:szCs w:val="20"/>
              </w:rPr>
              <w:t>înțelege relația dintre text, imagine, actor și spațiu ca elemente ale limbajului teatral.</w:t>
            </w:r>
          </w:p>
          <w:p w14:paraId="0BD76150">
            <w:pPr>
              <w:keepNext w:val="0"/>
              <w:keepLines w:val="0"/>
              <w:widowControl/>
              <w:numPr>
                <w:ilvl w:val="0"/>
                <w:numId w:val="0"/>
              </w:numPr>
              <w:suppressLineNumbers w:val="0"/>
              <w:spacing w:before="0" w:beforeAutospacing="1" w:after="0" w:afterAutospacing="1"/>
              <w:rPr>
                <w:rFonts w:hint="default" w:ascii="Cambria" w:hAnsi="Cambria" w:cs="Cambria"/>
                <w:sz w:val="20"/>
                <w:szCs w:val="20"/>
              </w:rPr>
            </w:pPr>
          </w:p>
          <w:p w14:paraId="51D6836E">
            <w:pPr>
              <w:spacing w:after="0" w:line="240" w:lineRule="auto"/>
              <w:rPr>
                <w:rFonts w:hint="default" w:ascii="Cambria" w:hAnsi="Cambria" w:cs="Cambria"/>
                <w:sz w:val="20"/>
                <w:szCs w:val="20"/>
              </w:rPr>
            </w:pPr>
          </w:p>
        </w:tc>
      </w:tr>
      <w:tr w14:paraId="0634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8" w:hRule="atLeast"/>
        </w:trPr>
        <w:tc>
          <w:tcPr>
            <w:tcW w:w="852" w:type="dxa"/>
            <w:shd w:val="clear" w:color="auto" w:fill="auto"/>
            <w:textDirection w:val="btLr"/>
            <w:vAlign w:val="center"/>
          </w:tcPr>
          <w:p w14:paraId="2FFF1ED5">
            <w:pPr>
              <w:spacing w:after="0" w:line="240" w:lineRule="auto"/>
              <w:ind w:left="113" w:right="113"/>
              <w:jc w:val="center"/>
              <w:rPr>
                <w:rFonts w:ascii="Cambria" w:hAnsi="Cambria"/>
                <w:b/>
                <w:sz w:val="20"/>
                <w:szCs w:val="20"/>
              </w:rPr>
            </w:pPr>
            <w:r>
              <w:rPr>
                <w:rFonts w:ascii="Cambria" w:hAnsi="Cambria"/>
                <w:b/>
                <w:sz w:val="20"/>
                <w:szCs w:val="20"/>
              </w:rPr>
              <w:t>Aptitudini</w:t>
            </w:r>
          </w:p>
        </w:tc>
        <w:tc>
          <w:tcPr>
            <w:tcW w:w="9639" w:type="dxa"/>
            <w:shd w:val="clear" w:color="auto" w:fill="auto"/>
            <w:vAlign w:val="center"/>
          </w:tcPr>
          <w:p w14:paraId="1730683B">
            <w:pPr>
              <w:pStyle w:val="17"/>
              <w:keepNext w:val="0"/>
              <w:keepLines w:val="0"/>
              <w:widowControl/>
              <w:suppressLineNumbers w:val="0"/>
              <w:rPr>
                <w:rFonts w:hint="default" w:ascii="Cambria" w:hAnsi="Cambria" w:cs="Cambria"/>
                <w:b w:val="0"/>
                <w:bCs w:val="0"/>
                <w:sz w:val="20"/>
                <w:szCs w:val="20"/>
              </w:rPr>
            </w:pPr>
            <w:r>
              <w:rPr>
                <w:rFonts w:hint="default" w:ascii="Cambria" w:hAnsi="Cambria" w:cs="Cambria"/>
                <w:b w:val="0"/>
                <w:bCs w:val="0"/>
                <w:iCs/>
                <w:sz w:val="20"/>
                <w:szCs w:val="20"/>
              </w:rPr>
              <w:t>Studentul este capabil să</w:t>
            </w:r>
            <w:r>
              <w:rPr>
                <w:rFonts w:hint="default" w:ascii="Cambria" w:hAnsi="Cambria" w:cs="Cambria"/>
                <w:b w:val="0"/>
                <w:bCs w:val="0"/>
                <w:iCs/>
                <w:sz w:val="20"/>
                <w:szCs w:val="20"/>
                <w:lang w:val="ro-RO"/>
              </w:rPr>
              <w:t>:</w:t>
            </w:r>
            <w:r>
              <w:rPr>
                <w:rFonts w:hint="default" w:ascii="Cambria" w:hAnsi="Cambria" w:cs="Cambria"/>
                <w:b w:val="0"/>
                <w:bCs w:val="0"/>
                <w:iCs/>
                <w:sz w:val="20"/>
                <w:szCs w:val="20"/>
                <w:lang w:val="ro-RO"/>
              </w:rPr>
              <w:br w:type="textWrapping"/>
            </w:r>
            <w:r>
              <w:rPr>
                <w:rFonts w:hint="default" w:ascii="Cambria" w:hAnsi="Cambria" w:cs="Cambria"/>
                <w:b w:val="0"/>
                <w:bCs w:val="0"/>
                <w:iCs/>
                <w:sz w:val="20"/>
                <w:szCs w:val="20"/>
                <w:lang w:val="ro-RO"/>
              </w:rPr>
              <w:br w:type="textWrapping"/>
            </w:r>
            <w:r>
              <w:rPr>
                <w:rFonts w:hint="default" w:ascii="Cambria" w:hAnsi="Cambria" w:eastAsia="Symbol" w:cs="Cambria"/>
                <w:b w:val="0"/>
                <w:bCs w:val="0"/>
                <w:sz w:val="20"/>
                <w:szCs w:val="20"/>
              </w:rPr>
              <w:t>·</w:t>
            </w:r>
            <w:r>
              <w:rPr>
                <w:rFonts w:hint="default" w:ascii="Cambria" w:hAnsi="Cambria" w:eastAsia="SimSun" w:cs="Cambria"/>
                <w:b w:val="0"/>
                <w:bCs w:val="0"/>
                <w:sz w:val="20"/>
                <w:szCs w:val="20"/>
              </w:rPr>
              <w:t xml:space="preserve">  </w:t>
            </w:r>
            <w:r>
              <w:rPr>
                <w:rStyle w:val="18"/>
                <w:rFonts w:hint="default" w:ascii="Cambria" w:hAnsi="Cambria" w:cs="Cambria"/>
                <w:b w:val="0"/>
                <w:bCs w:val="0"/>
                <w:sz w:val="20"/>
                <w:szCs w:val="20"/>
              </w:rPr>
              <w:t>analizeze un text sau o situație scenică</w:t>
            </w:r>
            <w:r>
              <w:rPr>
                <w:rFonts w:hint="default" w:ascii="Cambria" w:hAnsi="Cambria" w:cs="Cambria"/>
                <w:b w:val="0"/>
                <w:bCs w:val="0"/>
                <w:sz w:val="20"/>
                <w:szCs w:val="20"/>
              </w:rPr>
              <w:t xml:space="preserve"> din perspectivă regizorală;</w:t>
            </w:r>
          </w:p>
          <w:p w14:paraId="673084DA">
            <w:pPr>
              <w:pStyle w:val="17"/>
              <w:keepNext w:val="0"/>
              <w:keepLines w:val="0"/>
              <w:widowControl/>
              <w:suppressLineNumbers w:val="0"/>
              <w:rPr>
                <w:rFonts w:hint="default" w:ascii="Cambria" w:hAnsi="Cambria" w:cs="Cambria"/>
                <w:b w:val="0"/>
                <w:bCs w:val="0"/>
                <w:sz w:val="20"/>
                <w:szCs w:val="20"/>
              </w:rPr>
            </w:pPr>
            <w:r>
              <w:rPr>
                <w:rFonts w:hint="default" w:ascii="Cambria" w:hAnsi="Cambria" w:eastAsia="Symbol" w:cs="Cambria"/>
                <w:b w:val="0"/>
                <w:bCs w:val="0"/>
                <w:sz w:val="20"/>
                <w:szCs w:val="20"/>
              </w:rPr>
              <w:t>·</w:t>
            </w:r>
            <w:r>
              <w:rPr>
                <w:rFonts w:hint="default" w:ascii="Cambria" w:hAnsi="Cambria" w:eastAsia="SimSun" w:cs="Cambria"/>
                <w:b w:val="0"/>
                <w:bCs w:val="0"/>
                <w:sz w:val="20"/>
                <w:szCs w:val="20"/>
              </w:rPr>
              <w:t xml:space="preserve">  </w:t>
            </w:r>
            <w:r>
              <w:rPr>
                <w:rStyle w:val="18"/>
                <w:rFonts w:hint="default" w:ascii="Cambria" w:hAnsi="Cambria" w:cs="Cambria"/>
                <w:b w:val="0"/>
                <w:bCs w:val="0"/>
                <w:sz w:val="20"/>
                <w:szCs w:val="20"/>
              </w:rPr>
              <w:t>formuleze un punct de vedere artistic propriu</w:t>
            </w:r>
            <w:r>
              <w:rPr>
                <w:rFonts w:hint="default" w:ascii="Cambria" w:hAnsi="Cambria" w:cs="Cambria"/>
                <w:b w:val="0"/>
                <w:bCs w:val="0"/>
                <w:sz w:val="20"/>
                <w:szCs w:val="20"/>
              </w:rPr>
              <w:t>, justificat teoretic și vizual;</w:t>
            </w:r>
          </w:p>
          <w:p w14:paraId="1EF5CE73">
            <w:pPr>
              <w:pStyle w:val="17"/>
              <w:keepNext w:val="0"/>
              <w:keepLines w:val="0"/>
              <w:widowControl/>
              <w:suppressLineNumbers w:val="0"/>
              <w:rPr>
                <w:rFonts w:hint="default" w:ascii="Cambria" w:hAnsi="Cambria" w:cs="Cambria"/>
                <w:b w:val="0"/>
                <w:bCs w:val="0"/>
                <w:sz w:val="20"/>
                <w:szCs w:val="20"/>
              </w:rPr>
            </w:pPr>
            <w:r>
              <w:rPr>
                <w:rFonts w:hint="default" w:ascii="Cambria" w:hAnsi="Cambria" w:eastAsia="Symbol" w:cs="Cambria"/>
                <w:b w:val="0"/>
                <w:bCs w:val="0"/>
                <w:sz w:val="20"/>
                <w:szCs w:val="20"/>
              </w:rPr>
              <w:t>·</w:t>
            </w:r>
            <w:r>
              <w:rPr>
                <w:rFonts w:hint="default" w:ascii="Cambria" w:hAnsi="Cambria" w:eastAsia="SimSun" w:cs="Cambria"/>
                <w:b w:val="0"/>
                <w:bCs w:val="0"/>
                <w:sz w:val="20"/>
                <w:szCs w:val="20"/>
              </w:rPr>
              <w:t xml:space="preserve">  </w:t>
            </w:r>
            <w:r>
              <w:rPr>
                <w:rStyle w:val="18"/>
                <w:rFonts w:hint="default" w:ascii="Cambria" w:hAnsi="Cambria" w:cs="Cambria"/>
                <w:b w:val="0"/>
                <w:bCs w:val="0"/>
                <w:sz w:val="20"/>
                <w:szCs w:val="20"/>
              </w:rPr>
              <w:t>dezvolte un concept regizoral simplu</w:t>
            </w:r>
            <w:r>
              <w:rPr>
                <w:rFonts w:hint="default" w:ascii="Cambria" w:hAnsi="Cambria" w:cs="Cambria"/>
                <w:b w:val="0"/>
                <w:bCs w:val="0"/>
                <w:sz w:val="20"/>
                <w:szCs w:val="20"/>
              </w:rPr>
              <w:t xml:space="preserve"> aplicat unei scene fără text;</w:t>
            </w:r>
          </w:p>
          <w:p w14:paraId="3FAF94C2">
            <w:pPr>
              <w:pStyle w:val="17"/>
              <w:keepNext w:val="0"/>
              <w:keepLines w:val="0"/>
              <w:widowControl/>
              <w:suppressLineNumbers w:val="0"/>
              <w:rPr>
                <w:rFonts w:hint="default" w:ascii="Cambria" w:hAnsi="Cambria" w:cs="Cambria"/>
                <w:b w:val="0"/>
                <w:bCs w:val="0"/>
                <w:sz w:val="20"/>
                <w:szCs w:val="20"/>
              </w:rPr>
            </w:pPr>
            <w:r>
              <w:rPr>
                <w:rFonts w:hint="default" w:ascii="Cambria" w:hAnsi="Cambria" w:eastAsia="Symbol" w:cs="Cambria"/>
                <w:b w:val="0"/>
                <w:bCs w:val="0"/>
                <w:sz w:val="20"/>
                <w:szCs w:val="20"/>
              </w:rPr>
              <w:t>·</w:t>
            </w:r>
            <w:r>
              <w:rPr>
                <w:rFonts w:hint="default" w:ascii="Cambria" w:hAnsi="Cambria" w:eastAsia="SimSun" w:cs="Cambria"/>
                <w:b w:val="0"/>
                <w:bCs w:val="0"/>
                <w:sz w:val="20"/>
                <w:szCs w:val="20"/>
              </w:rPr>
              <w:t xml:space="preserve">  </w:t>
            </w:r>
            <w:r>
              <w:rPr>
                <w:rStyle w:val="18"/>
                <w:rFonts w:hint="default" w:ascii="Cambria" w:hAnsi="Cambria" w:cs="Cambria"/>
                <w:b w:val="0"/>
                <w:bCs w:val="0"/>
                <w:sz w:val="20"/>
                <w:szCs w:val="20"/>
              </w:rPr>
              <w:t>utilizeze instrumente de analiză și de compoziție scenică</w:t>
            </w:r>
            <w:r>
              <w:rPr>
                <w:rFonts w:hint="default" w:ascii="Cambria" w:hAnsi="Cambria" w:cs="Cambria"/>
                <w:b w:val="0"/>
                <w:bCs w:val="0"/>
                <w:sz w:val="20"/>
                <w:szCs w:val="20"/>
              </w:rPr>
              <w:t>;</w:t>
            </w:r>
          </w:p>
          <w:p w14:paraId="1C045E7F">
            <w:pPr>
              <w:pStyle w:val="17"/>
              <w:keepNext w:val="0"/>
              <w:keepLines w:val="0"/>
              <w:widowControl/>
              <w:suppressLineNumbers w:val="0"/>
              <w:rPr>
                <w:rFonts w:hint="default" w:ascii="Cambria" w:hAnsi="Cambria" w:cs="Cambria"/>
                <w:b w:val="0"/>
                <w:bCs w:val="0"/>
                <w:sz w:val="20"/>
                <w:szCs w:val="20"/>
              </w:rPr>
            </w:pPr>
            <w:r>
              <w:rPr>
                <w:rFonts w:hint="default" w:ascii="Cambria" w:hAnsi="Cambria" w:eastAsia="Symbol" w:cs="Cambria"/>
                <w:b w:val="0"/>
                <w:bCs w:val="0"/>
                <w:sz w:val="20"/>
                <w:szCs w:val="20"/>
              </w:rPr>
              <w:t>·</w:t>
            </w:r>
            <w:r>
              <w:rPr>
                <w:rFonts w:hint="default" w:ascii="Cambria" w:hAnsi="Cambria" w:eastAsia="SimSun" w:cs="Cambria"/>
                <w:b w:val="0"/>
                <w:bCs w:val="0"/>
                <w:sz w:val="20"/>
                <w:szCs w:val="20"/>
              </w:rPr>
              <w:t xml:space="preserve">  </w:t>
            </w:r>
            <w:r>
              <w:rPr>
                <w:rStyle w:val="18"/>
                <w:rFonts w:hint="default" w:ascii="Cambria" w:hAnsi="Cambria" w:cs="Cambria"/>
                <w:b w:val="0"/>
                <w:bCs w:val="0"/>
                <w:sz w:val="20"/>
                <w:szCs w:val="20"/>
              </w:rPr>
              <w:t>aplice tehnici teatrale de bază</w:t>
            </w:r>
            <w:r>
              <w:rPr>
                <w:rFonts w:hint="default" w:ascii="Cambria" w:hAnsi="Cambria" w:cs="Cambria"/>
                <w:b w:val="0"/>
                <w:bCs w:val="0"/>
                <w:sz w:val="20"/>
                <w:szCs w:val="20"/>
              </w:rPr>
              <w:t xml:space="preserve"> în exerciții individuale de regie;</w:t>
            </w:r>
          </w:p>
          <w:p w14:paraId="120A37E7">
            <w:pPr>
              <w:pStyle w:val="17"/>
              <w:keepNext w:val="0"/>
              <w:keepLines w:val="0"/>
              <w:widowControl/>
              <w:suppressLineNumbers w:val="0"/>
              <w:rPr>
                <w:rFonts w:hint="default" w:ascii="Cambria" w:hAnsi="Cambria" w:cs="Cambria"/>
                <w:b w:val="0"/>
                <w:bCs w:val="0"/>
                <w:sz w:val="20"/>
                <w:szCs w:val="20"/>
              </w:rPr>
            </w:pPr>
            <w:r>
              <w:rPr>
                <w:rFonts w:hint="default" w:ascii="Cambria" w:hAnsi="Cambria" w:eastAsia="Symbol" w:cs="Cambria"/>
                <w:b w:val="0"/>
                <w:bCs w:val="0"/>
                <w:sz w:val="20"/>
                <w:szCs w:val="20"/>
              </w:rPr>
              <w:t>·</w:t>
            </w:r>
            <w:r>
              <w:rPr>
                <w:rFonts w:hint="default" w:ascii="Cambria" w:hAnsi="Cambria" w:eastAsia="SimSun" w:cs="Cambria"/>
                <w:b w:val="0"/>
                <w:bCs w:val="0"/>
                <w:sz w:val="20"/>
                <w:szCs w:val="20"/>
              </w:rPr>
              <w:t xml:space="preserve">  </w:t>
            </w:r>
            <w:r>
              <w:rPr>
                <w:rStyle w:val="18"/>
                <w:rFonts w:hint="default" w:ascii="Cambria" w:hAnsi="Cambria" w:cs="Cambria"/>
                <w:b w:val="0"/>
                <w:bCs w:val="0"/>
                <w:sz w:val="20"/>
                <w:szCs w:val="20"/>
              </w:rPr>
              <w:t>documenteze și argumenteze</w:t>
            </w:r>
            <w:r>
              <w:rPr>
                <w:rFonts w:hint="default" w:ascii="Cambria" w:hAnsi="Cambria" w:cs="Cambria"/>
                <w:b w:val="0"/>
                <w:bCs w:val="0"/>
                <w:sz w:val="20"/>
                <w:szCs w:val="20"/>
              </w:rPr>
              <w:t xml:space="preserve"> propria creație regizorală folosind exemple artistice relevante.</w:t>
            </w:r>
          </w:p>
          <w:p w14:paraId="694E9197">
            <w:pPr>
              <w:spacing w:after="0" w:line="240" w:lineRule="auto"/>
              <w:rPr>
                <w:rFonts w:hint="default" w:ascii="Cambria" w:hAnsi="Cambria" w:cs="Cambria"/>
                <w:b w:val="0"/>
                <w:bCs w:val="0"/>
                <w:sz w:val="20"/>
                <w:szCs w:val="20"/>
                <w:lang w:val="ro-RO"/>
              </w:rPr>
            </w:pPr>
          </w:p>
        </w:tc>
      </w:tr>
      <w:tr w14:paraId="0060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9" w:hRule="atLeast"/>
        </w:trPr>
        <w:tc>
          <w:tcPr>
            <w:tcW w:w="852" w:type="dxa"/>
            <w:shd w:val="clear" w:color="auto" w:fill="auto"/>
            <w:textDirection w:val="btLr"/>
            <w:vAlign w:val="center"/>
          </w:tcPr>
          <w:p w14:paraId="1DB7DD3D">
            <w:pPr>
              <w:spacing w:after="0" w:line="240" w:lineRule="auto"/>
              <w:jc w:val="center"/>
              <w:rPr>
                <w:rFonts w:ascii="Cambria" w:hAnsi="Cambria"/>
                <w:b/>
                <w:sz w:val="20"/>
                <w:szCs w:val="20"/>
              </w:rPr>
            </w:pPr>
            <w:r>
              <w:rPr>
                <w:rFonts w:ascii="Cambria" w:hAnsi="Cambria"/>
                <w:b/>
                <w:sz w:val="20"/>
                <w:szCs w:val="20"/>
              </w:rPr>
              <w:t>Responsabilități</w:t>
            </w:r>
          </w:p>
          <w:p w14:paraId="31AF2E59">
            <w:pPr>
              <w:spacing w:after="0" w:line="240" w:lineRule="auto"/>
              <w:jc w:val="center"/>
              <w:rPr>
                <w:rFonts w:ascii="Cambria" w:hAnsi="Cambria"/>
                <w:sz w:val="20"/>
                <w:szCs w:val="20"/>
              </w:rPr>
            </w:pPr>
            <w:r>
              <w:rPr>
                <w:rFonts w:ascii="Cambria" w:hAnsi="Cambria"/>
                <w:b/>
                <w:sz w:val="20"/>
                <w:szCs w:val="20"/>
              </w:rPr>
              <w:t>și autonomie</w:t>
            </w:r>
          </w:p>
        </w:tc>
        <w:tc>
          <w:tcPr>
            <w:tcW w:w="9639" w:type="dxa"/>
            <w:shd w:val="clear" w:color="auto" w:fill="auto"/>
            <w:vAlign w:val="center"/>
          </w:tcPr>
          <w:p w14:paraId="673B183D">
            <w:pPr>
              <w:pStyle w:val="17"/>
              <w:keepNext w:val="0"/>
              <w:keepLines w:val="0"/>
              <w:widowControl/>
              <w:suppressLineNumbers w:val="0"/>
              <w:rPr>
                <w:rFonts w:hint="default" w:ascii="Cambria" w:hAnsi="Cambria" w:cs="Cambria"/>
                <w:b w:val="0"/>
                <w:bCs w:val="0"/>
                <w:sz w:val="20"/>
                <w:szCs w:val="20"/>
                <w:lang w:val="ro-RO"/>
              </w:rPr>
            </w:pPr>
            <w:r>
              <w:rPr>
                <w:rFonts w:hint="default" w:ascii="Cambria" w:hAnsi="Cambria" w:cs="Cambria"/>
                <w:b w:val="0"/>
                <w:bCs w:val="0"/>
                <w:iCs/>
                <w:sz w:val="20"/>
                <w:szCs w:val="20"/>
              </w:rPr>
              <w:t xml:space="preserve">Studentul </w:t>
            </w:r>
            <w:r>
              <w:rPr>
                <w:rFonts w:hint="default" w:ascii="Cambria" w:hAnsi="Cambria" w:cs="Cambria"/>
                <w:b w:val="0"/>
                <w:bCs w:val="0"/>
                <w:sz w:val="20"/>
                <w:szCs w:val="20"/>
              </w:rPr>
              <w:t>are capacitatea de a lucra independent pentru</w:t>
            </w:r>
            <w:r>
              <w:rPr>
                <w:rFonts w:hint="default" w:ascii="Cambria" w:hAnsi="Cambria" w:cs="Cambria"/>
                <w:b w:val="0"/>
                <w:bCs w:val="0"/>
                <w:sz w:val="20"/>
                <w:szCs w:val="20"/>
                <w:lang w:val="ro-RO"/>
              </w:rPr>
              <w:t>:</w:t>
            </w:r>
          </w:p>
          <w:p w14:paraId="6A186FA5">
            <w:pPr>
              <w:pStyle w:val="17"/>
              <w:keepNext w:val="0"/>
              <w:keepLines w:val="0"/>
              <w:widowControl/>
              <w:suppressLineNumbers w:val="0"/>
              <w:rPr>
                <w:rFonts w:hint="default" w:ascii="Cambria" w:hAnsi="Cambria" w:cs="Cambria"/>
                <w:b w:val="0"/>
                <w:bCs w:val="0"/>
                <w:sz w:val="20"/>
                <w:szCs w:val="20"/>
              </w:rPr>
            </w:pPr>
            <w:r>
              <w:rPr>
                <w:rFonts w:hint="default" w:ascii="Cambria" w:hAnsi="Cambria" w:cs="Cambria"/>
                <w:b w:val="0"/>
                <w:bCs w:val="0"/>
                <w:sz w:val="20"/>
                <w:szCs w:val="20"/>
                <w:lang w:val="ro-RO"/>
              </w:rPr>
              <w:br w:type="textWrapping"/>
            </w:r>
            <w:r>
              <w:rPr>
                <w:rFonts w:hint="default" w:ascii="Cambria" w:hAnsi="Cambria" w:eastAsia="Symbol" w:cs="Cambria"/>
                <w:b w:val="0"/>
                <w:bCs w:val="0"/>
                <w:sz w:val="20"/>
                <w:szCs w:val="20"/>
              </w:rPr>
              <w:t>·</w:t>
            </w:r>
            <w:r>
              <w:rPr>
                <w:rFonts w:hint="default" w:ascii="Cambria" w:hAnsi="Cambria" w:eastAsia="SimSun" w:cs="Cambria"/>
                <w:b w:val="0"/>
                <w:bCs w:val="0"/>
                <w:sz w:val="20"/>
                <w:szCs w:val="20"/>
              </w:rPr>
              <w:t xml:space="preserve">  </w:t>
            </w:r>
            <w:r>
              <w:rPr>
                <w:rFonts w:hint="default" w:ascii="Cambria" w:hAnsi="Cambria" w:cs="Cambria"/>
                <w:b w:val="0"/>
                <w:bCs w:val="0"/>
                <w:sz w:val="20"/>
                <w:szCs w:val="20"/>
              </w:rPr>
              <w:t xml:space="preserve">își </w:t>
            </w:r>
            <w:r>
              <w:rPr>
                <w:rStyle w:val="18"/>
                <w:rFonts w:hint="default" w:ascii="Cambria" w:hAnsi="Cambria" w:cs="Cambria"/>
                <w:b w:val="0"/>
                <w:bCs w:val="0"/>
                <w:sz w:val="20"/>
                <w:szCs w:val="20"/>
              </w:rPr>
              <w:t>asumă procesul de creație individuală</w:t>
            </w:r>
            <w:r>
              <w:rPr>
                <w:rFonts w:hint="default" w:ascii="Cambria" w:hAnsi="Cambria" w:cs="Cambria"/>
                <w:b w:val="0"/>
                <w:bCs w:val="0"/>
                <w:sz w:val="20"/>
                <w:szCs w:val="20"/>
              </w:rPr>
              <w:t xml:space="preserve"> și își gestionează propriul parcurs regizoral;</w:t>
            </w:r>
          </w:p>
          <w:p w14:paraId="4BFA156D">
            <w:pPr>
              <w:pStyle w:val="17"/>
              <w:keepNext w:val="0"/>
              <w:keepLines w:val="0"/>
              <w:widowControl/>
              <w:suppressLineNumbers w:val="0"/>
              <w:rPr>
                <w:rFonts w:hint="default" w:ascii="Cambria" w:hAnsi="Cambria" w:cs="Cambria"/>
                <w:b w:val="0"/>
                <w:bCs w:val="0"/>
                <w:sz w:val="20"/>
                <w:szCs w:val="20"/>
              </w:rPr>
            </w:pPr>
            <w:r>
              <w:rPr>
                <w:rFonts w:hint="default" w:ascii="Cambria" w:hAnsi="Cambria" w:eastAsia="Symbol" w:cs="Cambria"/>
                <w:b w:val="0"/>
                <w:bCs w:val="0"/>
                <w:sz w:val="20"/>
                <w:szCs w:val="20"/>
              </w:rPr>
              <w:t>·</w:t>
            </w:r>
            <w:r>
              <w:rPr>
                <w:rFonts w:hint="default" w:ascii="Cambria" w:hAnsi="Cambria" w:eastAsia="SimSun" w:cs="Cambria"/>
                <w:b w:val="0"/>
                <w:bCs w:val="0"/>
                <w:sz w:val="20"/>
                <w:szCs w:val="20"/>
              </w:rPr>
              <w:t xml:space="preserve">  </w:t>
            </w:r>
            <w:r>
              <w:rPr>
                <w:rStyle w:val="18"/>
                <w:rFonts w:hint="default" w:ascii="Cambria" w:hAnsi="Cambria" w:cs="Cambria"/>
                <w:b w:val="0"/>
                <w:bCs w:val="0"/>
                <w:sz w:val="20"/>
                <w:szCs w:val="20"/>
              </w:rPr>
              <w:t>respectă regulile de lucru și etica</w:t>
            </w:r>
            <w:r>
              <w:rPr>
                <w:rFonts w:hint="default" w:ascii="Cambria" w:hAnsi="Cambria" w:cs="Cambria"/>
                <w:b w:val="0"/>
                <w:bCs w:val="0"/>
                <w:sz w:val="20"/>
                <w:szCs w:val="20"/>
              </w:rPr>
              <w:t xml:space="preserve"> activității teatrale;</w:t>
            </w:r>
          </w:p>
          <w:p w14:paraId="3C31B473">
            <w:pPr>
              <w:pStyle w:val="17"/>
              <w:keepNext w:val="0"/>
              <w:keepLines w:val="0"/>
              <w:widowControl/>
              <w:suppressLineNumbers w:val="0"/>
              <w:rPr>
                <w:rFonts w:hint="default" w:ascii="Cambria" w:hAnsi="Cambria" w:cs="Cambria"/>
                <w:b w:val="0"/>
                <w:bCs w:val="0"/>
                <w:sz w:val="20"/>
                <w:szCs w:val="20"/>
              </w:rPr>
            </w:pPr>
            <w:r>
              <w:rPr>
                <w:rFonts w:hint="default" w:ascii="Cambria" w:hAnsi="Cambria" w:eastAsia="Symbol" w:cs="Cambria"/>
                <w:b w:val="0"/>
                <w:bCs w:val="0"/>
                <w:sz w:val="20"/>
                <w:szCs w:val="20"/>
              </w:rPr>
              <w:t>·</w:t>
            </w:r>
            <w:r>
              <w:rPr>
                <w:rFonts w:hint="default" w:ascii="Cambria" w:hAnsi="Cambria" w:eastAsia="SimSun" w:cs="Cambria"/>
                <w:b w:val="0"/>
                <w:bCs w:val="0"/>
                <w:sz w:val="20"/>
                <w:szCs w:val="20"/>
              </w:rPr>
              <w:t xml:space="preserve">  </w:t>
            </w:r>
            <w:r>
              <w:rPr>
                <w:rFonts w:hint="default" w:ascii="Cambria" w:hAnsi="Cambria" w:cs="Cambria"/>
                <w:b w:val="0"/>
                <w:bCs w:val="0"/>
                <w:sz w:val="20"/>
                <w:szCs w:val="20"/>
              </w:rPr>
              <w:t xml:space="preserve">demonstrează </w:t>
            </w:r>
            <w:r>
              <w:rPr>
                <w:rStyle w:val="18"/>
                <w:rFonts w:hint="default" w:ascii="Cambria" w:hAnsi="Cambria" w:cs="Cambria"/>
                <w:b w:val="0"/>
                <w:bCs w:val="0"/>
                <w:sz w:val="20"/>
                <w:szCs w:val="20"/>
              </w:rPr>
              <w:t>disciplină, rigoare și perseverență</w:t>
            </w:r>
            <w:r>
              <w:rPr>
                <w:rFonts w:hint="default" w:ascii="Cambria" w:hAnsi="Cambria" w:cs="Cambria"/>
                <w:b w:val="0"/>
                <w:bCs w:val="0"/>
                <w:sz w:val="20"/>
                <w:szCs w:val="20"/>
              </w:rPr>
              <w:t xml:space="preserve"> în derularea exercițiilor scenice;</w:t>
            </w:r>
          </w:p>
          <w:p w14:paraId="1868F69D">
            <w:pPr>
              <w:pStyle w:val="17"/>
              <w:keepNext w:val="0"/>
              <w:keepLines w:val="0"/>
              <w:widowControl/>
              <w:suppressLineNumbers w:val="0"/>
              <w:rPr>
                <w:rFonts w:hint="default" w:ascii="Cambria" w:hAnsi="Cambria" w:cs="Cambria"/>
                <w:b w:val="0"/>
                <w:bCs w:val="0"/>
                <w:sz w:val="20"/>
                <w:szCs w:val="20"/>
              </w:rPr>
            </w:pPr>
            <w:r>
              <w:rPr>
                <w:rFonts w:hint="default" w:ascii="Cambria" w:hAnsi="Cambria" w:eastAsia="Symbol" w:cs="Cambria"/>
                <w:b w:val="0"/>
                <w:bCs w:val="0"/>
                <w:sz w:val="20"/>
                <w:szCs w:val="20"/>
              </w:rPr>
              <w:t>·</w:t>
            </w:r>
            <w:r>
              <w:rPr>
                <w:rFonts w:hint="default" w:ascii="Cambria" w:hAnsi="Cambria" w:eastAsia="SimSun" w:cs="Cambria"/>
                <w:b w:val="0"/>
                <w:bCs w:val="0"/>
                <w:sz w:val="20"/>
                <w:szCs w:val="20"/>
              </w:rPr>
              <w:t xml:space="preserve">  </w:t>
            </w:r>
            <w:r>
              <w:rPr>
                <w:rStyle w:val="18"/>
                <w:rFonts w:hint="default" w:ascii="Cambria" w:hAnsi="Cambria" w:cs="Cambria"/>
                <w:b w:val="0"/>
                <w:bCs w:val="0"/>
                <w:sz w:val="20"/>
                <w:szCs w:val="20"/>
              </w:rPr>
              <w:t>își autoevaluează progresul</w:t>
            </w:r>
            <w:r>
              <w:rPr>
                <w:rFonts w:hint="default" w:ascii="Cambria" w:hAnsi="Cambria" w:cs="Cambria"/>
                <w:b w:val="0"/>
                <w:bCs w:val="0"/>
                <w:sz w:val="20"/>
                <w:szCs w:val="20"/>
              </w:rPr>
              <w:t xml:space="preserve"> și formulează concluzii critice asupra propriilor exerciții;</w:t>
            </w:r>
          </w:p>
          <w:p w14:paraId="2891E739">
            <w:pPr>
              <w:pStyle w:val="17"/>
              <w:keepNext w:val="0"/>
              <w:keepLines w:val="0"/>
              <w:widowControl/>
              <w:suppressLineNumbers w:val="0"/>
              <w:rPr>
                <w:rFonts w:hint="default" w:ascii="Cambria" w:hAnsi="Cambria" w:cs="Cambria"/>
                <w:sz w:val="20"/>
                <w:szCs w:val="20"/>
                <w:lang w:val="ro-RO"/>
              </w:rPr>
            </w:pPr>
            <w:r>
              <w:rPr>
                <w:rFonts w:hint="default" w:ascii="Cambria" w:hAnsi="Cambria" w:eastAsia="Symbol" w:cs="Cambria"/>
                <w:b w:val="0"/>
                <w:bCs w:val="0"/>
                <w:sz w:val="20"/>
                <w:szCs w:val="20"/>
              </w:rPr>
              <w:t>·</w:t>
            </w:r>
            <w:r>
              <w:rPr>
                <w:rFonts w:hint="default" w:ascii="Cambria" w:hAnsi="Cambria" w:eastAsia="SimSun" w:cs="Cambria"/>
                <w:b w:val="0"/>
                <w:bCs w:val="0"/>
                <w:sz w:val="20"/>
                <w:szCs w:val="20"/>
              </w:rPr>
              <w:t xml:space="preserve">  </w:t>
            </w:r>
            <w:r>
              <w:rPr>
                <w:rFonts w:hint="default" w:ascii="Cambria" w:hAnsi="Cambria" w:cs="Cambria"/>
                <w:b w:val="0"/>
                <w:bCs w:val="0"/>
                <w:sz w:val="20"/>
                <w:szCs w:val="20"/>
              </w:rPr>
              <w:t xml:space="preserve">dovedește </w:t>
            </w:r>
            <w:r>
              <w:rPr>
                <w:rStyle w:val="18"/>
                <w:rFonts w:hint="default" w:ascii="Cambria" w:hAnsi="Cambria" w:cs="Cambria"/>
                <w:b w:val="0"/>
                <w:bCs w:val="0"/>
                <w:sz w:val="20"/>
                <w:szCs w:val="20"/>
              </w:rPr>
              <w:t>capacitatea de organizare a timpului și resurselor</w:t>
            </w:r>
            <w:r>
              <w:rPr>
                <w:rFonts w:hint="default" w:ascii="Cambria" w:hAnsi="Cambria" w:cs="Cambria"/>
                <w:b w:val="0"/>
                <w:bCs w:val="0"/>
                <w:sz w:val="20"/>
                <w:szCs w:val="20"/>
              </w:rPr>
              <w:t xml:space="preserve"> în vederea finalizării unui exercițiu artistic coerent.</w:t>
            </w:r>
          </w:p>
        </w:tc>
      </w:tr>
    </w:tbl>
    <w:p w14:paraId="3696EE33">
      <w:pPr>
        <w:spacing w:after="0"/>
        <w:rPr>
          <w:rFonts w:ascii="Cambria" w:hAnsi="Cambria"/>
          <w:b/>
          <w:sz w:val="20"/>
          <w:szCs w:val="20"/>
        </w:rPr>
      </w:pPr>
    </w:p>
    <w:p w14:paraId="7B03E77D">
      <w:pPr>
        <w:spacing w:after="0"/>
        <w:ind w:hanging="425"/>
        <w:rPr>
          <w:rFonts w:ascii="Cambria" w:hAnsi="Cambria"/>
          <w:sz w:val="20"/>
          <w:szCs w:val="20"/>
        </w:rPr>
      </w:pPr>
      <w:r>
        <w:rPr>
          <w:rFonts w:ascii="Cambria" w:hAnsi="Cambria"/>
          <w:b/>
          <w:sz w:val="20"/>
          <w:szCs w:val="20"/>
        </w:rPr>
        <w:t>7. Obiectivele disciplinei</w:t>
      </w:r>
      <w:r>
        <w:rPr>
          <w:rFonts w:ascii="Cambria" w:hAnsi="Cambria"/>
          <w:sz w:val="20"/>
          <w:szCs w:val="20"/>
        </w:rPr>
        <w:t xml:space="preserve"> (reieșind din grila competențelor acumulate)</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7661"/>
      </w:tblGrid>
      <w:tr w14:paraId="70D4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3" w:hRule="atLeast"/>
        </w:trPr>
        <w:tc>
          <w:tcPr>
            <w:tcW w:w="2830" w:type="dxa"/>
            <w:shd w:val="clear" w:color="auto" w:fill="auto"/>
            <w:vAlign w:val="center"/>
          </w:tcPr>
          <w:p w14:paraId="64DCA41D">
            <w:pPr>
              <w:spacing w:after="0" w:line="240" w:lineRule="auto"/>
              <w:rPr>
                <w:rFonts w:ascii="Cambria" w:hAnsi="Cambria"/>
                <w:b/>
                <w:sz w:val="20"/>
                <w:szCs w:val="20"/>
              </w:rPr>
            </w:pPr>
            <w:r>
              <w:rPr>
                <w:rFonts w:ascii="Cambria" w:hAnsi="Cambria"/>
                <w:b/>
                <w:sz w:val="20"/>
                <w:szCs w:val="20"/>
              </w:rPr>
              <w:t>7.1 Obiectivul general al disciplinei</w:t>
            </w:r>
          </w:p>
        </w:tc>
        <w:tc>
          <w:tcPr>
            <w:tcW w:w="7661" w:type="dxa"/>
            <w:shd w:val="clear" w:color="auto" w:fill="auto"/>
            <w:vAlign w:val="center"/>
          </w:tcPr>
          <w:p w14:paraId="7F90CB51">
            <w:pPr>
              <w:pStyle w:val="35"/>
              <w:numPr>
                <w:ilvl w:val="0"/>
                <w:numId w:val="2"/>
              </w:numPr>
              <w:spacing w:after="0" w:line="240" w:lineRule="auto"/>
              <w:rPr>
                <w:rFonts w:ascii="Cambria" w:hAnsi="Cambria"/>
                <w:sz w:val="20"/>
                <w:szCs w:val="20"/>
              </w:rPr>
            </w:pPr>
            <w:r>
              <w:rPr>
                <w:rFonts w:hint="default" w:ascii="Cambria" w:hAnsi="Cambria"/>
                <w:sz w:val="20"/>
                <w:szCs w:val="20"/>
              </w:rPr>
              <w:t>Disciplina urmărește formarea privirii și gândirii regizorale prin explorarea principiilor fundamentale ale limbajului scenic și prin exersarea modurilor de construire a sensului în absența textului dramatic. Activitatea din semestrul I are caracter preponderent extratextual și își propune să dezvolte capacitatea studentului de a observa, analiza și traduce în imagini, spațiu și mișcare o idee sau o emoție. Cursul oferă o bază conceptuală solidă asupra noțiunilor de acțiune, conflict, ritm, mizanscenă și partitură scenică, în timp ce seminarele orientează studentul spre experiment individual, reflecție critică și autonomie creativă. Scopul general este acela de a construi un fundament artistic și metodologic pentru formarea regizorului ca autor de limbaj scenic.</w:t>
            </w:r>
          </w:p>
        </w:tc>
      </w:tr>
      <w:tr w14:paraId="36D14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2830" w:type="dxa"/>
            <w:shd w:val="clear" w:color="auto" w:fill="auto"/>
            <w:vAlign w:val="center"/>
          </w:tcPr>
          <w:p w14:paraId="30BC7B09">
            <w:pPr>
              <w:spacing w:after="0" w:line="240" w:lineRule="auto"/>
              <w:rPr>
                <w:rFonts w:ascii="Cambria" w:hAnsi="Cambria"/>
                <w:b/>
                <w:sz w:val="20"/>
                <w:szCs w:val="20"/>
              </w:rPr>
            </w:pPr>
            <w:r>
              <w:rPr>
                <w:rFonts w:ascii="Cambria" w:hAnsi="Cambria"/>
                <w:b/>
                <w:sz w:val="20"/>
                <w:szCs w:val="20"/>
              </w:rPr>
              <w:t>7.2 Obiectivele specifice</w:t>
            </w:r>
          </w:p>
        </w:tc>
        <w:tc>
          <w:tcPr>
            <w:tcW w:w="7661" w:type="dxa"/>
            <w:shd w:val="clear" w:color="auto" w:fill="auto"/>
            <w:vAlign w:val="center"/>
          </w:tcPr>
          <w:p w14:paraId="2904749D">
            <w:pPr>
              <w:pStyle w:val="17"/>
              <w:keepNext w:val="0"/>
              <w:keepLines w:val="0"/>
              <w:widowControl/>
              <w:suppressLineNumbers w:val="0"/>
              <w:rPr>
                <w:rFonts w:hint="default" w:ascii="Cambria" w:hAnsi="Cambria" w:cs="Cambria"/>
                <w:sz w:val="20"/>
                <w:szCs w:val="20"/>
              </w:rPr>
            </w:pPr>
            <w:r>
              <w:rPr>
                <w:rFonts w:hint="default" w:ascii="Cambria" w:hAnsi="Cambria" w:cs="Cambria"/>
                <w:sz w:val="20"/>
                <w:szCs w:val="20"/>
                <w:lang w:val="ro-RO"/>
              </w:rPr>
              <w:t xml:space="preserve">1. </w:t>
            </w:r>
            <w:r>
              <w:rPr>
                <w:rFonts w:hint="default" w:ascii="Cambria" w:hAnsi="Cambria" w:cs="Cambria"/>
                <w:sz w:val="20"/>
                <w:szCs w:val="20"/>
              </w:rPr>
              <w:t>Înțelegerea și aplicarea noțiunilor fundamentale ale limbajului scenic</w:t>
            </w:r>
            <w:r>
              <w:rPr>
                <w:rFonts w:hint="default" w:ascii="Cambria" w:hAnsi="Cambria" w:cs="Cambria"/>
                <w:sz w:val="20"/>
                <w:szCs w:val="20"/>
                <w:lang w:val="ro-RO"/>
              </w:rPr>
              <w:t xml:space="preserve"> (</w:t>
            </w:r>
            <w:r>
              <w:rPr>
                <w:rFonts w:hint="default" w:ascii="Cambria" w:hAnsi="Cambria" w:cs="Cambria"/>
                <w:sz w:val="20"/>
                <w:szCs w:val="20"/>
              </w:rPr>
              <w:t>acțiune, conflict, ritm, spațiu, mizanscenă</w:t>
            </w:r>
            <w:r>
              <w:rPr>
                <w:rFonts w:hint="default" w:ascii="Cambria" w:hAnsi="Cambria" w:cs="Cambria"/>
                <w:sz w:val="20"/>
                <w:szCs w:val="20"/>
                <w:lang w:val="ro-RO"/>
              </w:rPr>
              <w:t xml:space="preserve">, extratext, analiză de text) </w:t>
            </w:r>
            <w:r>
              <w:rPr>
                <w:rFonts w:hint="default" w:ascii="Cambria" w:hAnsi="Cambria" w:cs="Cambria"/>
                <w:sz w:val="20"/>
                <w:szCs w:val="20"/>
              </w:rPr>
              <w:t>în exerciții individuale.</w:t>
            </w:r>
          </w:p>
          <w:p w14:paraId="1244F0C0">
            <w:pPr>
              <w:pStyle w:val="17"/>
              <w:keepNext w:val="0"/>
              <w:keepLines w:val="0"/>
              <w:widowControl/>
              <w:suppressLineNumbers w:val="0"/>
              <w:rPr>
                <w:rFonts w:hint="default" w:ascii="Cambria" w:hAnsi="Cambria" w:cs="Cambria"/>
                <w:sz w:val="20"/>
                <w:szCs w:val="20"/>
              </w:rPr>
            </w:pPr>
            <w:r>
              <w:rPr>
                <w:rFonts w:hint="default" w:ascii="Cambria" w:hAnsi="Cambria" w:eastAsia="Symbol" w:cs="Cambria"/>
                <w:sz w:val="20"/>
                <w:szCs w:val="20"/>
                <w:lang w:val="ro-RO"/>
              </w:rPr>
              <w:t xml:space="preserve">2. </w:t>
            </w:r>
            <w:r>
              <w:rPr>
                <w:rFonts w:hint="default" w:ascii="Cambria" w:hAnsi="Cambria" w:cs="Cambria"/>
                <w:sz w:val="20"/>
                <w:szCs w:val="20"/>
              </w:rPr>
              <w:t>Dezvoltarea capacității de a analiza o situație dramatică simplă și de a identifica mijloacele scenice adecvate reprezentării acesteia.</w:t>
            </w:r>
          </w:p>
          <w:p w14:paraId="2DA9BE05">
            <w:pPr>
              <w:pStyle w:val="17"/>
              <w:keepNext w:val="0"/>
              <w:keepLines w:val="0"/>
              <w:widowControl/>
              <w:suppressLineNumbers w:val="0"/>
              <w:rPr>
                <w:rFonts w:hint="default" w:ascii="Cambria" w:hAnsi="Cambria" w:cs="Cambria"/>
                <w:sz w:val="20"/>
                <w:szCs w:val="20"/>
              </w:rPr>
            </w:pPr>
            <w:r>
              <w:rPr>
                <w:rFonts w:hint="default" w:ascii="Cambria" w:hAnsi="Cambria" w:cs="Cambria"/>
                <w:sz w:val="20"/>
                <w:szCs w:val="20"/>
                <w:lang w:val="ro-RO"/>
              </w:rPr>
              <w:t xml:space="preserve">3. </w:t>
            </w:r>
            <w:r>
              <w:rPr>
                <w:rFonts w:hint="default" w:ascii="Cambria" w:hAnsi="Cambria" w:cs="Cambria"/>
                <w:sz w:val="20"/>
                <w:szCs w:val="20"/>
              </w:rPr>
              <w:t>Exersarea privirii regizorale prin activități extratextuale care implică imaginea, obiectul, mișcarea și compoziția vizuală.</w:t>
            </w:r>
          </w:p>
          <w:p w14:paraId="24581230">
            <w:pPr>
              <w:pStyle w:val="17"/>
              <w:keepNext w:val="0"/>
              <w:keepLines w:val="0"/>
              <w:widowControl/>
              <w:suppressLineNumbers w:val="0"/>
              <w:rPr>
                <w:rFonts w:hint="default" w:ascii="Cambria" w:hAnsi="Cambria" w:cs="Cambria"/>
                <w:sz w:val="20"/>
                <w:szCs w:val="20"/>
              </w:rPr>
            </w:pPr>
            <w:r>
              <w:rPr>
                <w:rFonts w:hint="default" w:ascii="Cambria" w:hAnsi="Cambria" w:eastAsia="Symbol" w:cs="Cambria"/>
                <w:sz w:val="20"/>
                <w:szCs w:val="20"/>
                <w:lang w:val="ro-RO"/>
              </w:rPr>
              <w:t xml:space="preserve">4. </w:t>
            </w:r>
            <w:r>
              <w:rPr>
                <w:rFonts w:hint="default" w:ascii="Cambria" w:hAnsi="Cambria" w:cs="Cambria"/>
                <w:sz w:val="20"/>
                <w:szCs w:val="20"/>
              </w:rPr>
              <w:t>Formarea unei gândiri regizorale au</w:t>
            </w:r>
            <w:bookmarkStart w:id="0" w:name="_GoBack"/>
            <w:bookmarkEnd w:id="0"/>
            <w:r>
              <w:rPr>
                <w:rFonts w:hint="default" w:ascii="Cambria" w:hAnsi="Cambria" w:cs="Cambria"/>
                <w:sz w:val="20"/>
                <w:szCs w:val="20"/>
              </w:rPr>
              <w:t>tonome, capabile să traducă o idee abstractă într-o structură scenică coerentă.</w:t>
            </w:r>
          </w:p>
          <w:p w14:paraId="5DC14604">
            <w:pPr>
              <w:pStyle w:val="17"/>
              <w:keepNext w:val="0"/>
              <w:keepLines w:val="0"/>
              <w:widowControl/>
              <w:suppressLineNumbers w:val="0"/>
              <w:rPr>
                <w:rFonts w:hint="default" w:ascii="Cambria" w:hAnsi="Cambria" w:cs="Cambria"/>
                <w:sz w:val="20"/>
                <w:szCs w:val="20"/>
              </w:rPr>
            </w:pPr>
            <w:r>
              <w:rPr>
                <w:rFonts w:hint="default" w:ascii="Cambria" w:hAnsi="Cambria" w:eastAsia="Symbol" w:cs="Cambria"/>
                <w:sz w:val="20"/>
                <w:szCs w:val="20"/>
                <w:lang w:val="ro-RO"/>
              </w:rPr>
              <w:t xml:space="preserve">5. </w:t>
            </w:r>
            <w:r>
              <w:rPr>
                <w:rFonts w:hint="default" w:ascii="Cambria" w:hAnsi="Cambria" w:cs="Cambria"/>
                <w:sz w:val="20"/>
                <w:szCs w:val="20"/>
              </w:rPr>
              <w:t>Dobândirea abilității de a lucra cu elementele de bază ale compoziției teatrale în absența textului dramatic.</w:t>
            </w:r>
          </w:p>
          <w:p w14:paraId="59232CA3">
            <w:pPr>
              <w:pStyle w:val="17"/>
              <w:keepNext w:val="0"/>
              <w:keepLines w:val="0"/>
              <w:widowControl/>
              <w:suppressLineNumbers w:val="0"/>
              <w:rPr>
                <w:rFonts w:hint="default" w:ascii="Cambria" w:hAnsi="Cambria" w:cs="Cambria"/>
                <w:sz w:val="20"/>
                <w:szCs w:val="20"/>
              </w:rPr>
            </w:pPr>
            <w:r>
              <w:rPr>
                <w:rFonts w:hint="default" w:ascii="Cambria" w:hAnsi="Cambria" w:eastAsia="Symbol" w:cs="Cambria"/>
                <w:sz w:val="20"/>
                <w:szCs w:val="20"/>
                <w:lang w:val="ro-RO"/>
              </w:rPr>
              <w:t xml:space="preserve">6. </w:t>
            </w:r>
            <w:r>
              <w:rPr>
                <w:rFonts w:hint="default" w:ascii="Cambria" w:hAnsi="Cambria" w:cs="Cambria"/>
                <w:sz w:val="20"/>
                <w:szCs w:val="20"/>
              </w:rPr>
              <w:t>Cultivarea spiritului critic și a capacității de autoevaluare în raport cu propriile exerciții artistice.</w:t>
            </w:r>
          </w:p>
          <w:p w14:paraId="547EE42A">
            <w:pPr>
              <w:pStyle w:val="17"/>
              <w:keepNext w:val="0"/>
              <w:keepLines w:val="0"/>
              <w:widowControl/>
              <w:suppressLineNumbers w:val="0"/>
              <w:rPr>
                <w:rFonts w:hint="default" w:ascii="Cambria" w:hAnsi="Cambria" w:cs="Cambria"/>
                <w:sz w:val="20"/>
                <w:szCs w:val="20"/>
              </w:rPr>
            </w:pPr>
            <w:r>
              <w:rPr>
                <w:rFonts w:hint="default" w:ascii="Cambria" w:hAnsi="Cambria" w:eastAsia="Symbol" w:cs="Cambria"/>
                <w:sz w:val="20"/>
                <w:szCs w:val="20"/>
                <w:lang w:val="ro-RO"/>
              </w:rPr>
              <w:t xml:space="preserve">7. </w:t>
            </w:r>
            <w:r>
              <w:rPr>
                <w:rFonts w:hint="default" w:ascii="Cambria" w:hAnsi="Cambria" w:cs="Cambria"/>
                <w:sz w:val="20"/>
                <w:szCs w:val="20"/>
              </w:rPr>
              <w:t>Dezvoltarea disciplinei, a rigoarei și a responsabilității personale în procesul de creație individuală.</w:t>
            </w:r>
          </w:p>
          <w:p w14:paraId="49C8C8EF">
            <w:pPr>
              <w:pStyle w:val="35"/>
              <w:numPr>
                <w:ilvl w:val="0"/>
                <w:numId w:val="0"/>
              </w:numPr>
              <w:spacing w:after="0" w:line="240" w:lineRule="auto"/>
              <w:ind w:left="360" w:leftChars="0"/>
              <w:rPr>
                <w:rFonts w:ascii="Cambria" w:hAnsi="Cambria"/>
                <w:sz w:val="20"/>
                <w:szCs w:val="20"/>
              </w:rPr>
            </w:pPr>
          </w:p>
        </w:tc>
      </w:tr>
    </w:tbl>
    <w:p w14:paraId="08ACB65C">
      <w:pPr>
        <w:ind w:hanging="426"/>
        <w:rPr>
          <w:rFonts w:ascii="Cambria" w:hAnsi="Cambria"/>
          <w:sz w:val="20"/>
          <w:szCs w:val="20"/>
        </w:rPr>
      </w:pPr>
    </w:p>
    <w:p w14:paraId="1AB1B035">
      <w:pPr>
        <w:rPr>
          <w:rFonts w:ascii="Cambria" w:hAnsi="Cambria"/>
          <w:sz w:val="20"/>
          <w:szCs w:val="20"/>
        </w:rPr>
      </w:pPr>
    </w:p>
    <w:p w14:paraId="550C8D78">
      <w:pPr>
        <w:spacing w:after="0"/>
        <w:ind w:hanging="426"/>
        <w:rPr>
          <w:rFonts w:ascii="Cambria" w:hAnsi="Cambria"/>
          <w:b/>
          <w:sz w:val="20"/>
          <w:szCs w:val="20"/>
        </w:rPr>
      </w:pPr>
      <w:r>
        <w:rPr>
          <w:rFonts w:ascii="Cambria" w:hAnsi="Cambria"/>
          <w:b/>
          <w:sz w:val="20"/>
          <w:szCs w:val="20"/>
        </w:rPr>
        <w:t>8. Conținuturi</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3119"/>
        <w:gridCol w:w="2977"/>
      </w:tblGrid>
      <w:tr w14:paraId="5486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B7DE2C8">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8.1 Curs</w:t>
            </w:r>
          </w:p>
        </w:tc>
        <w:tc>
          <w:tcPr>
            <w:tcW w:w="3119" w:type="dxa"/>
            <w:shd w:val="clear" w:color="auto" w:fill="auto"/>
            <w:vAlign w:val="center"/>
          </w:tcPr>
          <w:p w14:paraId="27721A81">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Metode de predare</w:t>
            </w:r>
          </w:p>
        </w:tc>
        <w:tc>
          <w:tcPr>
            <w:tcW w:w="2977" w:type="dxa"/>
            <w:shd w:val="clear" w:color="auto" w:fill="auto"/>
            <w:vAlign w:val="center"/>
          </w:tcPr>
          <w:p w14:paraId="5F6F867A">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Observații</w:t>
            </w:r>
          </w:p>
        </w:tc>
      </w:tr>
      <w:tr w14:paraId="24407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425D878">
            <w:pPr>
              <w:numPr>
                <w:ilvl w:val="0"/>
                <w:numId w:val="3"/>
              </w:numPr>
              <w:spacing w:after="0" w:line="240" w:lineRule="auto"/>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Introducere. Rolul regizorului în procesul scenic</w:t>
            </w:r>
          </w:p>
        </w:tc>
        <w:tc>
          <w:tcPr>
            <w:tcW w:w="3119" w:type="dxa"/>
            <w:shd w:val="clear" w:color="auto" w:fill="auto"/>
            <w:vAlign w:val="center"/>
          </w:tcPr>
          <w:p w14:paraId="4AEE5826">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prelegere interactivă</w:t>
            </w:r>
          </w:p>
        </w:tc>
        <w:tc>
          <w:tcPr>
            <w:tcW w:w="2977" w:type="dxa"/>
            <w:shd w:val="clear" w:color="auto" w:fill="auto"/>
            <w:vAlign w:val="center"/>
          </w:tcPr>
          <w:p w14:paraId="34B87A81">
            <w:pPr>
              <w:spacing w:after="0" w:line="240" w:lineRule="auto"/>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14:ligatures w14:val="none"/>
              </w:rPr>
              <w:t>lectură:</w:t>
            </w:r>
            <w:r>
              <w:rPr>
                <w:rFonts w:hint="default" w:ascii="Cambria" w:hAnsi="Cambria" w:eastAsia="Calibri"/>
                <w:kern w:val="0"/>
                <w:sz w:val="20"/>
                <w:szCs w:val="20"/>
                <w:lang w:val="ro-RO"/>
                <w14:ligatures w14:val="none"/>
              </w:rPr>
              <w:t xml:space="preserve"> Katie Mitchell - Profesia de regizor</w:t>
            </w:r>
          </w:p>
        </w:tc>
      </w:tr>
      <w:tr w14:paraId="0B451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77143C3">
            <w:pPr>
              <w:numPr>
                <w:ilvl w:val="0"/>
                <w:numId w:val="3"/>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Acțiunea scenică elementară</w:t>
            </w:r>
          </w:p>
        </w:tc>
        <w:tc>
          <w:tcPr>
            <w:tcW w:w="3119" w:type="dxa"/>
            <w:shd w:val="clear" w:color="auto" w:fill="auto"/>
            <w:vAlign w:val="center"/>
          </w:tcPr>
          <w:p w14:paraId="2F417D16">
            <w:pPr>
              <w:spacing w:after="0" w:line="240" w:lineRule="auto"/>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14:ligatures w14:val="none"/>
              </w:rPr>
              <w:t>analiză de exemplu + discuție</w:t>
            </w:r>
          </w:p>
        </w:tc>
        <w:tc>
          <w:tcPr>
            <w:tcW w:w="2977" w:type="dxa"/>
            <w:shd w:val="clear" w:color="auto" w:fill="auto"/>
            <w:vAlign w:val="center"/>
          </w:tcPr>
          <w:p w14:paraId="7E688862">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notițe pentru jurnal de lucru</w:t>
            </w:r>
          </w:p>
        </w:tc>
      </w:tr>
      <w:tr w14:paraId="047D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5A36083">
            <w:pPr>
              <w:numPr>
                <w:ilvl w:val="0"/>
                <w:numId w:val="3"/>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Conflictul scenic</w:t>
            </w:r>
          </w:p>
        </w:tc>
        <w:tc>
          <w:tcPr>
            <w:tcW w:w="3119" w:type="dxa"/>
            <w:shd w:val="clear" w:color="auto" w:fill="auto"/>
            <w:vAlign w:val="center"/>
          </w:tcPr>
          <w:p w14:paraId="17BA7C53">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expunere + exemplificare</w:t>
            </w:r>
          </w:p>
        </w:tc>
        <w:tc>
          <w:tcPr>
            <w:tcW w:w="2977" w:type="dxa"/>
            <w:shd w:val="clear" w:color="auto" w:fill="auto"/>
            <w:vAlign w:val="center"/>
          </w:tcPr>
          <w:p w14:paraId="68404402">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schiță de situație conflictuală fără text</w:t>
            </w:r>
          </w:p>
        </w:tc>
      </w:tr>
      <w:tr w14:paraId="30D7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6C53518B">
            <w:pPr>
              <w:numPr>
                <w:ilvl w:val="0"/>
                <w:numId w:val="3"/>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Spațiul de joc</w:t>
            </w:r>
          </w:p>
        </w:tc>
        <w:tc>
          <w:tcPr>
            <w:tcW w:w="3119" w:type="dxa"/>
            <w:shd w:val="clear" w:color="auto" w:fill="auto"/>
            <w:vAlign w:val="center"/>
          </w:tcPr>
          <w:p w14:paraId="536C28E5">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analiză vizuală</w:t>
            </w:r>
          </w:p>
        </w:tc>
        <w:tc>
          <w:tcPr>
            <w:tcW w:w="2977" w:type="dxa"/>
            <w:shd w:val="clear" w:color="auto" w:fill="auto"/>
            <w:vAlign w:val="center"/>
          </w:tcPr>
          <w:p w14:paraId="7769CC81">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schiță simplă de spațiu pentru un exercițiu</w:t>
            </w:r>
          </w:p>
        </w:tc>
      </w:tr>
      <w:tr w14:paraId="004A8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0CE6DDB6">
            <w:pPr>
              <w:numPr>
                <w:ilvl w:val="0"/>
                <w:numId w:val="3"/>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Timpul scenic și dinamica acțiunii</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0FD44D03">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analiză comparată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5E9B20EA">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notițe aplicate despre ritm intern</w:t>
            </w:r>
          </w:p>
        </w:tc>
      </w:tr>
      <w:tr w14:paraId="3D0D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710D4C1">
            <w:pPr>
              <w:numPr>
                <w:ilvl w:val="0"/>
                <w:numId w:val="3"/>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Compoziția scenică</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6BBEC515">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expunere + discuție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109B9E1C">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lang w:val="ro-RO"/>
                <w14:ligatures w14:val="none"/>
              </w:rPr>
              <w:t>f</w:t>
            </w:r>
            <w:r>
              <w:rPr>
                <w:rFonts w:hint="default" w:ascii="Cambria" w:hAnsi="Cambria" w:eastAsia="Calibri"/>
                <w:kern w:val="0"/>
                <w:sz w:val="20"/>
                <w:szCs w:val="20"/>
                <w14:ligatures w14:val="none"/>
              </w:rPr>
              <w:t>otografie/schiță de compoziție cu explicație scrisă</w:t>
            </w:r>
          </w:p>
        </w:tc>
      </w:tr>
      <w:tr w14:paraId="245D3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13BBB10">
            <w:pPr>
              <w:numPr>
                <w:ilvl w:val="0"/>
                <w:numId w:val="3"/>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Partitura scenică</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2B843CBD">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exemplificare pe studiu de caz</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0B1AF608">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plan de partitură pentru o secvență scurtă</w:t>
            </w:r>
          </w:p>
        </w:tc>
      </w:tr>
      <w:tr w14:paraId="05A36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27E482FC">
            <w:pPr>
              <w:numPr>
                <w:ilvl w:val="0"/>
                <w:numId w:val="3"/>
              </w:numPr>
              <w:spacing w:after="0" w:line="240" w:lineRule="auto"/>
              <w:ind w:left="0" w:leftChars="0" w:firstLine="0" w:firstLineChars="0"/>
              <w:rPr>
                <w:rFonts w:hint="default" w:ascii="Cambria" w:hAnsi="Cambria" w:eastAsia="Calibri" w:cs="Times New Roman"/>
                <w:kern w:val="0"/>
                <w:sz w:val="20"/>
                <w:szCs w:val="20"/>
                <w:lang w:val="ro-RO"/>
                <w14:ligatures w14:val="none"/>
              </w:rPr>
            </w:pPr>
            <w:r>
              <w:rPr>
                <w:rFonts w:hint="default" w:ascii="Cambria" w:hAnsi="Cambria" w:eastAsia="Calibri"/>
                <w:kern w:val="0"/>
                <w:sz w:val="20"/>
                <w:szCs w:val="20"/>
                <w:lang w:val="ro-RO"/>
                <w14:ligatures w14:val="none"/>
              </w:rPr>
              <w:t>Direcția atenției și expresivitatea corporală în construcția acțiunii scenice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0481BF6A">
            <w:pPr>
              <w:spacing w:after="0" w:line="240" w:lineRule="auto"/>
              <w:rPr>
                <w:rFonts w:ascii="Cambria" w:hAnsi="Cambria" w:eastAsia="Calibri" w:cs="Times New Roman"/>
                <w:kern w:val="0"/>
                <w:sz w:val="20"/>
                <w:szCs w:val="20"/>
                <w14:ligatures w14:val="none"/>
              </w:rPr>
            </w:pPr>
            <w:r>
              <w:rPr>
                <w:rFonts w:hint="default" w:ascii="Cambria" w:hAnsi="Cambria" w:eastAsia="Calibri"/>
                <w:kern w:val="0"/>
                <w:sz w:val="20"/>
                <w:szCs w:val="20"/>
                <w14:ligatures w14:val="none"/>
              </w:rPr>
              <w:t>demonstrație practică, analiză aplicată pe exerciții individuale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4DA3F362">
            <w:pPr>
              <w:spacing w:after="0" w:line="240" w:lineRule="auto"/>
              <w:rPr>
                <w:rFonts w:hint="default" w:ascii="Cambria" w:hAnsi="Cambria" w:eastAsia="Calibri"/>
                <w:kern w:val="0"/>
                <w:sz w:val="20"/>
                <w:szCs w:val="20"/>
                <w14:ligatures w14:val="none"/>
              </w:rPr>
            </w:pPr>
            <w:r>
              <w:rPr>
                <w:rFonts w:hint="default" w:ascii="Cambria" w:hAnsi="Cambria" w:eastAsia="Calibri"/>
                <w:kern w:val="0"/>
                <w:sz w:val="20"/>
                <w:szCs w:val="20"/>
                <w:lang w:val="ro-RO"/>
                <w14:ligatures w14:val="none"/>
              </w:rPr>
              <w:t>n</w:t>
            </w:r>
            <w:r>
              <w:rPr>
                <w:rFonts w:hint="default" w:ascii="Cambria" w:hAnsi="Cambria" w:eastAsia="Calibri"/>
                <w:kern w:val="0"/>
                <w:sz w:val="20"/>
                <w:szCs w:val="20"/>
                <w14:ligatures w14:val="none"/>
              </w:rPr>
              <w:t>otițe privind raportul dintre intenție și reacție vizibilă</w:t>
            </w:r>
          </w:p>
        </w:tc>
      </w:tr>
      <w:tr w14:paraId="518B3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22DA304D">
            <w:pPr>
              <w:numPr>
                <w:ilvl w:val="0"/>
                <w:numId w:val="3"/>
              </w:numPr>
              <w:spacing w:after="0" w:line="240" w:lineRule="auto"/>
              <w:ind w:left="0" w:leftChars="0" w:firstLine="0" w:firstLineChars="0"/>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Obiectul în relația scenică</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0917240A">
            <w:pPr>
              <w:spacing w:after="0" w:line="240" w:lineRule="auto"/>
              <w:rPr>
                <w:rFonts w:hint="default" w:ascii="Cambria" w:hAnsi="Cambria" w:eastAsia="Calibri"/>
                <w:kern w:val="0"/>
                <w:sz w:val="20"/>
                <w:szCs w:val="20"/>
                <w14:ligatures w14:val="none"/>
              </w:rPr>
            </w:pPr>
            <w:r>
              <w:rPr>
                <w:rFonts w:hint="default" w:ascii="Cambria" w:hAnsi="Cambria" w:eastAsia="Calibri"/>
                <w:kern w:val="0"/>
                <w:sz w:val="20"/>
                <w:szCs w:val="20"/>
                <w14:ligatures w14:val="none"/>
              </w:rPr>
              <w:t>prelegere + discuție aplicată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0E64C0DD">
            <w:pPr>
              <w:spacing w:after="0" w:line="240" w:lineRule="auto"/>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exercițiu: relație personaj–obiect (descris în ½ pag.)</w:t>
            </w:r>
          </w:p>
        </w:tc>
      </w:tr>
      <w:tr w14:paraId="3A1A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CEB2FD8">
            <w:pPr>
              <w:numPr>
                <w:ilvl w:val="0"/>
                <w:numId w:val="3"/>
              </w:numPr>
              <w:spacing w:after="0" w:line="240" w:lineRule="auto"/>
              <w:ind w:left="0" w:leftChars="0" w:firstLine="0" w:firstLineChars="0"/>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Principii de aranjament scenic nonverbal</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73F70624">
            <w:pPr>
              <w:spacing w:after="0" w:line="240" w:lineRule="auto"/>
              <w:rPr>
                <w:rFonts w:hint="default" w:ascii="Cambria" w:hAnsi="Cambria" w:eastAsia="Calibri"/>
                <w:kern w:val="0"/>
                <w:sz w:val="20"/>
                <w:szCs w:val="20"/>
                <w14:ligatures w14:val="none"/>
              </w:rPr>
            </w:pPr>
            <w:r>
              <w:rPr>
                <w:rFonts w:hint="default" w:ascii="Cambria" w:hAnsi="Cambria" w:eastAsia="Calibri"/>
                <w:kern w:val="0"/>
                <w:sz w:val="20"/>
                <w:szCs w:val="20"/>
                <w14:ligatures w14:val="none"/>
              </w:rPr>
              <w:t>analiză + aplicație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1A94B973">
            <w:pPr>
              <w:spacing w:after="0" w:line="240" w:lineRule="auto"/>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schiță de aranjament pentru două prezențe</w:t>
            </w:r>
          </w:p>
        </w:tc>
      </w:tr>
      <w:tr w14:paraId="39E5F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7B9A8024">
            <w:pPr>
              <w:numPr>
                <w:ilvl w:val="0"/>
                <w:numId w:val="3"/>
              </w:numPr>
              <w:spacing w:after="0" w:line="240" w:lineRule="auto"/>
              <w:ind w:left="0" w:leftChars="0" w:firstLine="0" w:firstLineChars="0"/>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Analiza vizuală a unei situații</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2BA603C5">
            <w:pPr>
              <w:spacing w:after="0" w:line="240" w:lineRule="auto"/>
              <w:rPr>
                <w:rFonts w:hint="default" w:ascii="Cambria" w:hAnsi="Cambria" w:eastAsia="Calibri"/>
                <w:kern w:val="0"/>
                <w:sz w:val="20"/>
                <w:szCs w:val="20"/>
                <w14:ligatures w14:val="none"/>
              </w:rPr>
            </w:pPr>
            <w:r>
              <w:rPr>
                <w:rFonts w:hint="default" w:ascii="Cambria" w:hAnsi="Cambria" w:eastAsia="Calibri"/>
                <w:kern w:val="0"/>
                <w:sz w:val="20"/>
                <w:szCs w:val="20"/>
                <w14:ligatures w14:val="none"/>
              </w:rPr>
              <w:t>studiu de imagini + discuție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1F835F09">
            <w:pPr>
              <w:spacing w:after="0" w:line="240" w:lineRule="auto"/>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fișă de analiză (1 pag.) pentru o imagine aleasă</w:t>
            </w:r>
          </w:p>
        </w:tc>
      </w:tr>
      <w:tr w14:paraId="7F86E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13151378">
            <w:pPr>
              <w:numPr>
                <w:ilvl w:val="0"/>
                <w:numId w:val="3"/>
              </w:numPr>
              <w:spacing w:after="0" w:line="240" w:lineRule="auto"/>
              <w:ind w:left="0" w:leftChars="0" w:firstLine="0" w:firstLineChars="0"/>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De la observație la idee scenică</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46841D80">
            <w:pPr>
              <w:spacing w:after="0" w:line="240" w:lineRule="auto"/>
              <w:rPr>
                <w:rFonts w:hint="default" w:ascii="Cambria" w:hAnsi="Cambria" w:eastAsia="Calibri"/>
                <w:kern w:val="0"/>
                <w:sz w:val="20"/>
                <w:szCs w:val="20"/>
                <w14:ligatures w14:val="none"/>
              </w:rPr>
            </w:pPr>
            <w:r>
              <w:rPr>
                <w:rFonts w:hint="default" w:ascii="Cambria" w:hAnsi="Cambria" w:eastAsia="Calibri"/>
                <w:kern w:val="0"/>
                <w:sz w:val="20"/>
                <w:szCs w:val="20"/>
                <w14:ligatures w14:val="none"/>
              </w:rPr>
              <w:t>discuție aplicată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67540B29">
            <w:pPr>
              <w:spacing w:after="0" w:line="240" w:lineRule="auto"/>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sinopsis de ½ pag. pentru exercițiul final</w:t>
            </w:r>
          </w:p>
        </w:tc>
      </w:tr>
      <w:tr w14:paraId="53446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55C23403">
            <w:pPr>
              <w:numPr>
                <w:ilvl w:val="0"/>
                <w:numId w:val="3"/>
              </w:numPr>
              <w:spacing w:after="0" w:line="240" w:lineRule="auto"/>
              <w:ind w:left="0" w:leftChars="0" w:firstLine="0" w:firstLineChars="0"/>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 xml:space="preserve">Structura caietului de regie (I): </w:t>
            </w:r>
            <w:r>
              <w:rPr>
                <w:rFonts w:hint="default" w:ascii="Cambria" w:hAnsi="Cambria"/>
                <w:sz w:val="20"/>
                <w:szCs w:val="20"/>
                <w:lang w:val="ro-RO"/>
              </w:rPr>
              <w:t>sinteză și organizare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726E1E88">
            <w:pPr>
              <w:spacing w:after="0" w:line="240" w:lineRule="auto"/>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prezentare teoretică + analiză de exemple + discuție aplicată asupra caietului propriu</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2F0E9B9F">
            <w:pPr>
              <w:spacing w:after="0" w:line="240" w:lineRule="auto"/>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studenții aduc materialele realizate pe parcurs (fișe, schițe, jurnale) pentru structurarea caietului de regie și completarea rubricilor de analiză și reflecție.</w:t>
            </w:r>
          </w:p>
        </w:tc>
      </w:tr>
      <w:tr w14:paraId="6562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5313DE5C">
            <w:pPr>
              <w:numPr>
                <w:ilvl w:val="0"/>
                <w:numId w:val="3"/>
              </w:numPr>
              <w:spacing w:after="0" w:line="240" w:lineRule="auto"/>
              <w:ind w:left="0" w:leftChars="0" w:firstLine="0" w:firstLineChars="0"/>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 xml:space="preserve">Structura caietului de regie (II): </w:t>
            </w:r>
            <w:r>
              <w:rPr>
                <w:rFonts w:hint="default" w:ascii="Cambria" w:hAnsi="Cambria"/>
                <w:sz w:val="20"/>
                <w:szCs w:val="20"/>
                <w:lang w:val="ro-RO"/>
              </w:rPr>
              <w:t>prezentare și feedback final</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1AA42160">
            <w:pPr>
              <w:spacing w:after="0" w:line="240" w:lineRule="auto"/>
              <w:rPr>
                <w:rFonts w:hint="default" w:ascii="Cambria" w:hAnsi="Cambria" w:eastAsia="Calibri"/>
                <w:kern w:val="0"/>
                <w:sz w:val="20"/>
                <w:szCs w:val="20"/>
                <w14:ligatures w14:val="none"/>
              </w:rPr>
            </w:pPr>
            <w:r>
              <w:rPr>
                <w:rFonts w:hint="default" w:ascii="Cambria" w:hAnsi="Cambria" w:eastAsia="Calibri"/>
                <w:kern w:val="0"/>
                <w:sz w:val="20"/>
                <w:szCs w:val="20"/>
                <w14:ligatures w14:val="none"/>
              </w:rPr>
              <w:t>prezentare individuală a caietelor de regie + feedback colectiv și ghidat</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6D9C07F4">
            <w:pPr>
              <w:spacing w:after="0" w:line="240" w:lineRule="auto"/>
              <w:rPr>
                <w:rFonts w:hint="default" w:ascii="Cambria" w:hAnsi="Cambria" w:eastAsia="Calibri"/>
                <w:kern w:val="0"/>
                <w:sz w:val="20"/>
                <w:szCs w:val="20"/>
                <w:lang w:val="ro-RO"/>
                <w14:ligatures w14:val="none"/>
              </w:rPr>
            </w:pPr>
            <w:r>
              <w:rPr>
                <w:rFonts w:hint="default" w:ascii="Cambria" w:hAnsi="Cambria" w:eastAsia="Calibri"/>
                <w:kern w:val="0"/>
                <w:sz w:val="20"/>
                <w:szCs w:val="20"/>
                <w:lang w:val="ro-RO"/>
                <w14:ligatures w14:val="none"/>
              </w:rPr>
              <w:t>predarea caietului de regie complet (cu exercițiile finale, reflecțiile și planurile de lucru) ca parte a evaluării semestriale.</w:t>
            </w:r>
          </w:p>
        </w:tc>
      </w:tr>
      <w:tr w14:paraId="6DEC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1" w:type="dxa"/>
            <w:gridSpan w:val="3"/>
            <w:shd w:val="clear" w:color="auto" w:fill="auto"/>
            <w:vAlign w:val="center"/>
          </w:tcPr>
          <w:p w14:paraId="2ADC31D9">
            <w:pPr>
              <w:pStyle w:val="17"/>
              <w:keepNext w:val="0"/>
              <w:keepLines w:val="0"/>
              <w:widowControl/>
              <w:suppressLineNumbers w:val="0"/>
              <w:rPr>
                <w:b w:val="0"/>
                <w:bCs w:val="0"/>
                <w:sz w:val="20"/>
                <w:szCs w:val="20"/>
              </w:rPr>
            </w:pPr>
            <w:r>
              <w:rPr>
                <w:rFonts w:ascii="Cambria" w:hAnsi="Cambria"/>
                <w:b w:val="0"/>
                <w:bCs w:val="0"/>
                <w:sz w:val="20"/>
                <w:szCs w:val="20"/>
              </w:rPr>
              <w:t>Bibliografie</w:t>
            </w:r>
            <w:r>
              <w:rPr>
                <w:rFonts w:ascii="Cambria" w:hAnsi="Cambria"/>
                <w:b w:val="0"/>
                <w:bCs w:val="0"/>
                <w:sz w:val="20"/>
                <w:szCs w:val="20"/>
              </w:rPr>
              <w:br w:type="textWrapping"/>
            </w:r>
            <w:r>
              <w:rPr>
                <w:rFonts w:ascii="Cambria" w:hAnsi="Cambria"/>
                <w:b w:val="0"/>
                <w:bCs w:val="0"/>
                <w:sz w:val="20"/>
                <w:szCs w:val="20"/>
              </w:rPr>
              <w:br w:type="textWrapping"/>
            </w:r>
            <w:r>
              <w:rPr>
                <w:rFonts w:hint="default" w:ascii="Cambria" w:hAnsi="Cambria"/>
                <w:b w:val="0"/>
                <w:bCs w:val="0"/>
                <w:sz w:val="20"/>
                <w:szCs w:val="20"/>
                <w:lang w:val="ro-RO"/>
              </w:rPr>
              <w:t xml:space="preserve">1. </w:t>
            </w:r>
            <w:r>
              <w:rPr>
                <w:rStyle w:val="18"/>
                <w:b w:val="0"/>
                <w:bCs w:val="0"/>
                <w:sz w:val="20"/>
                <w:szCs w:val="20"/>
              </w:rPr>
              <w:t>Hans-Thies Lehmann</w:t>
            </w:r>
            <w:r>
              <w:rPr>
                <w:b w:val="0"/>
                <w:bCs w:val="0"/>
                <w:sz w:val="20"/>
                <w:szCs w:val="20"/>
              </w:rPr>
              <w:t xml:space="preserve">, </w:t>
            </w:r>
            <w:r>
              <w:rPr>
                <w:rStyle w:val="13"/>
                <w:b w:val="0"/>
                <w:bCs w:val="0"/>
                <w:sz w:val="20"/>
                <w:szCs w:val="20"/>
              </w:rPr>
              <w:t>Teatrul postdramatic</w:t>
            </w:r>
            <w:r>
              <w:rPr>
                <w:b w:val="0"/>
                <w:bCs w:val="0"/>
                <w:sz w:val="20"/>
                <w:szCs w:val="20"/>
              </w:rPr>
              <w:t xml:space="preserve">, traducere de </w:t>
            </w:r>
            <w:r>
              <w:rPr>
                <w:rFonts w:hint="default"/>
                <w:b w:val="0"/>
                <w:bCs w:val="0"/>
                <w:sz w:val="20"/>
                <w:szCs w:val="20"/>
              </w:rPr>
              <w:t>Victor Scoradeț</w:t>
            </w:r>
            <w:r>
              <w:rPr>
                <w:b w:val="0"/>
                <w:bCs w:val="0"/>
                <w:sz w:val="20"/>
                <w:szCs w:val="20"/>
              </w:rPr>
              <w:t xml:space="preserve">, București: </w:t>
            </w:r>
            <w:r>
              <w:rPr>
                <w:rStyle w:val="18"/>
                <w:b w:val="0"/>
                <w:bCs w:val="0"/>
                <w:sz w:val="20"/>
                <w:szCs w:val="20"/>
              </w:rPr>
              <w:t>Editura Unitext</w:t>
            </w:r>
            <w:r>
              <w:rPr>
                <w:b w:val="0"/>
                <w:bCs w:val="0"/>
                <w:sz w:val="20"/>
                <w:szCs w:val="20"/>
              </w:rPr>
              <w:t xml:space="preserve">, 2009. ISBN </w:t>
            </w:r>
            <w:r>
              <w:rPr>
                <w:rStyle w:val="18"/>
                <w:b w:val="0"/>
                <w:bCs w:val="0"/>
                <w:sz w:val="20"/>
                <w:szCs w:val="20"/>
              </w:rPr>
              <w:t>978-973-8129-44-3</w:t>
            </w:r>
            <w:r>
              <w:rPr>
                <w:b w:val="0"/>
                <w:bCs w:val="0"/>
                <w:sz w:val="20"/>
                <w:szCs w:val="20"/>
              </w:rPr>
              <w:t>.</w:t>
            </w:r>
          </w:p>
          <w:p w14:paraId="6D2EBE7D">
            <w:pPr>
              <w:pStyle w:val="17"/>
              <w:keepNext w:val="0"/>
              <w:keepLines w:val="0"/>
              <w:widowControl/>
              <w:numPr>
                <w:ilvl w:val="0"/>
                <w:numId w:val="4"/>
              </w:numPr>
              <w:suppressLineNumbers w:val="0"/>
              <w:rPr>
                <w:b w:val="0"/>
                <w:bCs w:val="0"/>
                <w:sz w:val="20"/>
                <w:szCs w:val="20"/>
              </w:rPr>
            </w:pPr>
            <w:r>
              <w:rPr>
                <w:rStyle w:val="18"/>
                <w:b w:val="0"/>
                <w:bCs w:val="0"/>
                <w:sz w:val="20"/>
                <w:szCs w:val="20"/>
              </w:rPr>
              <w:t>Patrice Pavis</w:t>
            </w:r>
            <w:r>
              <w:rPr>
                <w:b w:val="0"/>
                <w:bCs w:val="0"/>
                <w:sz w:val="20"/>
                <w:szCs w:val="20"/>
              </w:rPr>
              <w:t xml:space="preserve">, </w:t>
            </w:r>
            <w:r>
              <w:rPr>
                <w:rStyle w:val="13"/>
                <w:b w:val="0"/>
                <w:bCs w:val="0"/>
                <w:sz w:val="20"/>
                <w:szCs w:val="20"/>
              </w:rPr>
              <w:t>Dicționar de teatru</w:t>
            </w:r>
            <w:r>
              <w:rPr>
                <w:b w:val="0"/>
                <w:bCs w:val="0"/>
                <w:sz w:val="20"/>
                <w:szCs w:val="20"/>
              </w:rPr>
              <w:t xml:space="preserve">, traducere de </w:t>
            </w:r>
            <w:r>
              <w:rPr>
                <w:rStyle w:val="18"/>
                <w:b w:val="0"/>
                <w:bCs w:val="0"/>
                <w:sz w:val="20"/>
                <w:szCs w:val="20"/>
              </w:rPr>
              <w:t>Mirella Nedelcu-Pătureanu</w:t>
            </w:r>
            <w:r>
              <w:rPr>
                <w:b w:val="0"/>
                <w:bCs w:val="0"/>
                <w:sz w:val="20"/>
                <w:szCs w:val="20"/>
              </w:rPr>
              <w:t xml:space="preserve">, Iași: </w:t>
            </w:r>
            <w:r>
              <w:rPr>
                <w:rStyle w:val="18"/>
                <w:b w:val="0"/>
                <w:bCs w:val="0"/>
                <w:sz w:val="20"/>
                <w:szCs w:val="20"/>
              </w:rPr>
              <w:t>Editura Fides</w:t>
            </w:r>
            <w:r>
              <w:rPr>
                <w:b w:val="0"/>
                <w:bCs w:val="0"/>
                <w:sz w:val="20"/>
                <w:szCs w:val="20"/>
              </w:rPr>
              <w:t xml:space="preserve">, 2012. ISBN </w:t>
            </w:r>
            <w:r>
              <w:rPr>
                <w:rStyle w:val="18"/>
                <w:b w:val="0"/>
                <w:bCs w:val="0"/>
                <w:sz w:val="20"/>
                <w:szCs w:val="20"/>
              </w:rPr>
              <w:t>978-973-8930-95-7</w:t>
            </w:r>
            <w:r>
              <w:rPr>
                <w:b w:val="0"/>
                <w:bCs w:val="0"/>
                <w:sz w:val="20"/>
                <w:szCs w:val="20"/>
              </w:rPr>
              <w:t>.</w:t>
            </w:r>
            <w:r>
              <w:rPr>
                <w:b w:val="0"/>
                <w:bCs w:val="0"/>
                <w:sz w:val="20"/>
                <w:szCs w:val="20"/>
              </w:rPr>
              <w:br w:type="textWrapping"/>
            </w:r>
          </w:p>
          <w:p w14:paraId="648C225E">
            <w:pPr>
              <w:pStyle w:val="17"/>
              <w:keepNext w:val="0"/>
              <w:keepLines w:val="0"/>
              <w:widowControl/>
              <w:numPr>
                <w:ilvl w:val="0"/>
                <w:numId w:val="4"/>
              </w:numPr>
              <w:suppressLineNumbers w:val="0"/>
              <w:ind w:left="0" w:leftChars="0" w:firstLine="0" w:firstLineChars="0"/>
              <w:rPr>
                <w:b w:val="0"/>
                <w:bCs w:val="0"/>
                <w:sz w:val="20"/>
                <w:szCs w:val="20"/>
              </w:rPr>
            </w:pPr>
            <w:r>
              <w:rPr>
                <w:rStyle w:val="18"/>
                <w:b w:val="0"/>
                <w:bCs w:val="0"/>
                <w:sz w:val="20"/>
                <w:szCs w:val="20"/>
              </w:rPr>
              <w:t>Konstantin S. Stanislavski</w:t>
            </w:r>
            <w:r>
              <w:rPr>
                <w:b w:val="0"/>
                <w:bCs w:val="0"/>
                <w:sz w:val="20"/>
                <w:szCs w:val="20"/>
              </w:rPr>
              <w:t xml:space="preserve">, </w:t>
            </w:r>
            <w:r>
              <w:rPr>
                <w:rStyle w:val="13"/>
                <w:b w:val="0"/>
                <w:bCs w:val="0"/>
                <w:sz w:val="20"/>
                <w:szCs w:val="20"/>
              </w:rPr>
              <w:t>Munca actorului cu sine însuși</w:t>
            </w:r>
            <w:r>
              <w:rPr>
                <w:b w:val="0"/>
                <w:bCs w:val="0"/>
                <w:sz w:val="20"/>
                <w:szCs w:val="20"/>
              </w:rPr>
              <w:t xml:space="preserve"> (vol. I), traducere de </w:t>
            </w:r>
            <w:r>
              <w:rPr>
                <w:rStyle w:val="18"/>
                <w:b w:val="0"/>
                <w:bCs w:val="0"/>
                <w:sz w:val="20"/>
                <w:szCs w:val="20"/>
              </w:rPr>
              <w:t>Raluca Rădulescu</w:t>
            </w:r>
            <w:r>
              <w:rPr>
                <w:b w:val="0"/>
                <w:bCs w:val="0"/>
                <w:sz w:val="20"/>
                <w:szCs w:val="20"/>
              </w:rPr>
              <w:t xml:space="preserve">, București: </w:t>
            </w:r>
            <w:r>
              <w:rPr>
                <w:rStyle w:val="18"/>
                <w:b w:val="0"/>
                <w:bCs w:val="0"/>
                <w:sz w:val="20"/>
                <w:szCs w:val="20"/>
              </w:rPr>
              <w:t>Editura Nemira</w:t>
            </w:r>
            <w:r>
              <w:rPr>
                <w:b w:val="0"/>
                <w:bCs w:val="0"/>
                <w:sz w:val="20"/>
                <w:szCs w:val="20"/>
              </w:rPr>
              <w:t xml:space="preserve">, 2021. ISBN </w:t>
            </w:r>
            <w:r>
              <w:rPr>
                <w:rStyle w:val="18"/>
                <w:b w:val="0"/>
                <w:bCs w:val="0"/>
                <w:sz w:val="20"/>
                <w:szCs w:val="20"/>
              </w:rPr>
              <w:t>978-606-43-1036-1</w:t>
            </w:r>
            <w:r>
              <w:rPr>
                <w:b w:val="0"/>
                <w:bCs w:val="0"/>
                <w:sz w:val="20"/>
                <w:szCs w:val="20"/>
              </w:rPr>
              <w:t>.</w:t>
            </w:r>
            <w:r>
              <w:rPr>
                <w:b w:val="0"/>
                <w:bCs w:val="0"/>
                <w:sz w:val="20"/>
                <w:szCs w:val="20"/>
              </w:rPr>
              <w:br w:type="textWrapping"/>
            </w:r>
          </w:p>
          <w:p w14:paraId="4412542C">
            <w:pPr>
              <w:pStyle w:val="17"/>
              <w:keepNext w:val="0"/>
              <w:keepLines w:val="0"/>
              <w:widowControl/>
              <w:numPr>
                <w:ilvl w:val="0"/>
                <w:numId w:val="4"/>
              </w:numPr>
              <w:suppressLineNumbers w:val="0"/>
              <w:ind w:left="0" w:leftChars="0" w:firstLine="0" w:firstLineChars="0"/>
              <w:rPr>
                <w:rFonts w:ascii="Cambria" w:hAnsi="Cambria"/>
                <w:sz w:val="20"/>
                <w:szCs w:val="20"/>
              </w:rPr>
            </w:pPr>
            <w:r>
              <w:rPr>
                <w:rStyle w:val="18"/>
                <w:b w:val="0"/>
                <w:bCs w:val="0"/>
                <w:sz w:val="20"/>
                <w:szCs w:val="20"/>
              </w:rPr>
              <w:t>Katie Mitchell</w:t>
            </w:r>
            <w:r>
              <w:rPr>
                <w:b w:val="0"/>
                <w:bCs w:val="0"/>
                <w:sz w:val="20"/>
                <w:szCs w:val="20"/>
              </w:rPr>
              <w:t xml:space="preserve">, </w:t>
            </w:r>
            <w:r>
              <w:rPr>
                <w:rStyle w:val="13"/>
                <w:b w:val="0"/>
                <w:bCs w:val="0"/>
                <w:sz w:val="20"/>
                <w:szCs w:val="20"/>
              </w:rPr>
              <w:t>Profesia de regizor. Un manual de teatru</w:t>
            </w:r>
            <w:r>
              <w:rPr>
                <w:b w:val="0"/>
                <w:bCs w:val="0"/>
                <w:sz w:val="20"/>
                <w:szCs w:val="20"/>
              </w:rPr>
              <w:t xml:space="preserve">, traducere de </w:t>
            </w:r>
            <w:r>
              <w:rPr>
                <w:rStyle w:val="18"/>
                <w:b w:val="0"/>
                <w:bCs w:val="0"/>
                <w:sz w:val="20"/>
                <w:szCs w:val="20"/>
              </w:rPr>
              <w:t>Edith Negulici</w:t>
            </w:r>
            <w:r>
              <w:rPr>
                <w:b w:val="0"/>
                <w:bCs w:val="0"/>
                <w:sz w:val="20"/>
                <w:szCs w:val="20"/>
              </w:rPr>
              <w:t xml:space="preserve">, București: </w:t>
            </w:r>
            <w:r>
              <w:rPr>
                <w:rStyle w:val="18"/>
                <w:b w:val="0"/>
                <w:bCs w:val="0"/>
                <w:sz w:val="20"/>
                <w:szCs w:val="20"/>
              </w:rPr>
              <w:t>U.N.A.T.C. Press</w:t>
            </w:r>
            <w:r>
              <w:rPr>
                <w:b w:val="0"/>
                <w:bCs w:val="0"/>
                <w:sz w:val="20"/>
                <w:szCs w:val="20"/>
              </w:rPr>
              <w:t xml:space="preserve">, 2019. ISBN </w:t>
            </w:r>
            <w:r>
              <w:rPr>
                <w:rStyle w:val="18"/>
                <w:b w:val="0"/>
                <w:bCs w:val="0"/>
                <w:sz w:val="20"/>
                <w:szCs w:val="20"/>
              </w:rPr>
              <w:t>978-606-8757-49-0</w:t>
            </w:r>
            <w:r>
              <w:rPr>
                <w:b w:val="0"/>
                <w:bCs w:val="0"/>
                <w:sz w:val="20"/>
                <w:szCs w:val="20"/>
              </w:rPr>
              <w:t>.</w:t>
            </w:r>
            <w:r>
              <w:rPr>
                <w:b w:val="0"/>
                <w:bCs w:val="0"/>
                <w:sz w:val="20"/>
                <w:szCs w:val="20"/>
              </w:rPr>
              <w:br w:type="textWrapping"/>
            </w:r>
            <w:r>
              <w:rPr>
                <w:b w:val="0"/>
                <w:bCs w:val="0"/>
                <w:sz w:val="20"/>
                <w:szCs w:val="20"/>
              </w:rPr>
              <w:br w:type="textWrapping"/>
            </w:r>
            <w:r>
              <w:rPr>
                <w:rFonts w:hint="default"/>
                <w:b w:val="0"/>
                <w:bCs w:val="0"/>
                <w:sz w:val="20"/>
                <w:szCs w:val="20"/>
                <w:lang w:val="ro-RO"/>
              </w:rPr>
              <w:t xml:space="preserve">5. </w:t>
            </w:r>
            <w:r>
              <w:rPr>
                <w:rStyle w:val="18"/>
                <w:b w:val="0"/>
                <w:bCs w:val="0"/>
                <w:sz w:val="20"/>
                <w:szCs w:val="20"/>
              </w:rPr>
              <w:t>Peter Brook</w:t>
            </w:r>
            <w:r>
              <w:rPr>
                <w:b w:val="0"/>
                <w:bCs w:val="0"/>
                <w:sz w:val="20"/>
                <w:szCs w:val="20"/>
              </w:rPr>
              <w:t xml:space="preserve">, </w:t>
            </w:r>
            <w:r>
              <w:rPr>
                <w:rStyle w:val="13"/>
                <w:b w:val="0"/>
                <w:bCs w:val="0"/>
                <w:sz w:val="20"/>
                <w:szCs w:val="20"/>
              </w:rPr>
              <w:t>Spațiul gol</w:t>
            </w:r>
            <w:r>
              <w:rPr>
                <w:b w:val="0"/>
                <w:bCs w:val="0"/>
                <w:sz w:val="20"/>
                <w:szCs w:val="20"/>
              </w:rPr>
              <w:t xml:space="preserve">, traducere de </w:t>
            </w:r>
            <w:r>
              <w:rPr>
                <w:rStyle w:val="18"/>
                <w:b w:val="0"/>
                <w:bCs w:val="0"/>
                <w:sz w:val="20"/>
                <w:szCs w:val="20"/>
              </w:rPr>
              <w:t>Monica Andronescu</w:t>
            </w:r>
            <w:r>
              <w:rPr>
                <w:b w:val="0"/>
                <w:bCs w:val="0"/>
                <w:sz w:val="20"/>
                <w:szCs w:val="20"/>
              </w:rPr>
              <w:t xml:space="preserve">, București: </w:t>
            </w:r>
            <w:r>
              <w:rPr>
                <w:rStyle w:val="18"/>
                <w:b w:val="0"/>
                <w:bCs w:val="0"/>
                <w:sz w:val="20"/>
                <w:szCs w:val="20"/>
              </w:rPr>
              <w:t>Editura Nemira</w:t>
            </w:r>
            <w:r>
              <w:rPr>
                <w:b w:val="0"/>
                <w:bCs w:val="0"/>
                <w:sz w:val="20"/>
                <w:szCs w:val="20"/>
              </w:rPr>
              <w:t xml:space="preserve">, colecția </w:t>
            </w:r>
            <w:r>
              <w:rPr>
                <w:rStyle w:val="13"/>
                <w:b w:val="0"/>
                <w:bCs w:val="0"/>
                <w:sz w:val="20"/>
                <w:szCs w:val="20"/>
              </w:rPr>
              <w:t>Yorick</w:t>
            </w:r>
            <w:r>
              <w:rPr>
                <w:b w:val="0"/>
                <w:bCs w:val="0"/>
                <w:sz w:val="20"/>
                <w:szCs w:val="20"/>
              </w:rPr>
              <w:t xml:space="preserve">, reeditare 2023. ISBN </w:t>
            </w:r>
            <w:r>
              <w:rPr>
                <w:rStyle w:val="18"/>
                <w:b w:val="0"/>
                <w:bCs w:val="0"/>
                <w:sz w:val="20"/>
                <w:szCs w:val="20"/>
              </w:rPr>
              <w:t>978-606-43-1666-0</w:t>
            </w:r>
            <w:r>
              <w:rPr>
                <w:b w:val="0"/>
                <w:bCs w:val="0"/>
                <w:sz w:val="20"/>
                <w:szCs w:val="20"/>
              </w:rPr>
              <w:t>.</w:t>
            </w:r>
          </w:p>
        </w:tc>
      </w:tr>
      <w:tr w14:paraId="724C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24554D0C">
            <w:pPr>
              <w:spacing w:after="0" w:line="240" w:lineRule="auto"/>
              <w:rPr>
                <w:rFonts w:ascii="Cambria" w:hAnsi="Cambria"/>
                <w:sz w:val="20"/>
                <w:szCs w:val="20"/>
              </w:rPr>
            </w:pPr>
            <w:r>
              <w:rPr>
                <w:rFonts w:ascii="Cambria" w:hAnsi="Cambria"/>
                <w:sz w:val="20"/>
                <w:szCs w:val="20"/>
              </w:rPr>
              <w:t>8.2 Seminar / laborator</w:t>
            </w:r>
          </w:p>
        </w:tc>
        <w:tc>
          <w:tcPr>
            <w:tcW w:w="3119" w:type="dxa"/>
            <w:shd w:val="clear" w:color="auto" w:fill="auto"/>
            <w:vAlign w:val="center"/>
          </w:tcPr>
          <w:p w14:paraId="77799169">
            <w:pPr>
              <w:spacing w:after="0" w:line="240" w:lineRule="auto"/>
              <w:rPr>
                <w:rFonts w:ascii="Cambria" w:hAnsi="Cambria"/>
                <w:sz w:val="20"/>
                <w:szCs w:val="20"/>
              </w:rPr>
            </w:pPr>
            <w:r>
              <w:rPr>
                <w:rFonts w:ascii="Cambria" w:hAnsi="Cambria"/>
                <w:sz w:val="20"/>
                <w:szCs w:val="20"/>
              </w:rPr>
              <w:t>Metode de predare</w:t>
            </w:r>
          </w:p>
        </w:tc>
        <w:tc>
          <w:tcPr>
            <w:tcW w:w="2977" w:type="dxa"/>
            <w:shd w:val="clear" w:color="auto" w:fill="auto"/>
            <w:vAlign w:val="center"/>
          </w:tcPr>
          <w:p w14:paraId="0DCC5100">
            <w:pPr>
              <w:spacing w:after="0" w:line="240" w:lineRule="auto"/>
              <w:rPr>
                <w:rFonts w:ascii="Cambria" w:hAnsi="Cambria"/>
                <w:sz w:val="20"/>
                <w:szCs w:val="20"/>
              </w:rPr>
            </w:pPr>
            <w:r>
              <w:rPr>
                <w:rFonts w:ascii="Cambria" w:hAnsi="Cambria"/>
                <w:sz w:val="20"/>
                <w:szCs w:val="20"/>
              </w:rPr>
              <w:t>Observații</w:t>
            </w:r>
          </w:p>
        </w:tc>
      </w:tr>
      <w:tr w14:paraId="74734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6C224A07">
            <w:pPr>
              <w:numPr>
                <w:ilvl w:val="0"/>
                <w:numId w:val="5"/>
              </w:numPr>
              <w:spacing w:after="0" w:line="240" w:lineRule="auto"/>
              <w:rPr>
                <w:rFonts w:hint="default" w:ascii="Cambria" w:hAnsi="Cambria"/>
                <w:sz w:val="20"/>
                <w:szCs w:val="20"/>
                <w:lang w:val="ro-RO"/>
              </w:rPr>
            </w:pPr>
            <w:r>
              <w:rPr>
                <w:rFonts w:hint="default" w:ascii="Cambria" w:hAnsi="Cambria"/>
                <w:sz w:val="20"/>
                <w:szCs w:val="20"/>
                <w:lang w:val="ro-RO"/>
              </w:rPr>
              <w:t>Introducere în lucrul extratextual. Observația regizorală</w:t>
            </w:r>
          </w:p>
        </w:tc>
        <w:tc>
          <w:tcPr>
            <w:tcW w:w="3119" w:type="dxa"/>
            <w:shd w:val="clear" w:color="auto" w:fill="auto"/>
            <w:vAlign w:val="center"/>
          </w:tcPr>
          <w:p w14:paraId="7A7ED45E">
            <w:pPr>
              <w:spacing w:after="0" w:line="240" w:lineRule="auto"/>
              <w:rPr>
                <w:rFonts w:ascii="Cambria" w:hAnsi="Cambria"/>
                <w:sz w:val="20"/>
                <w:szCs w:val="20"/>
              </w:rPr>
            </w:pPr>
            <w:r>
              <w:rPr>
                <w:rFonts w:hint="default" w:ascii="Cambria" w:hAnsi="Cambria"/>
                <w:sz w:val="20"/>
                <w:szCs w:val="20"/>
              </w:rPr>
              <w:t>exercițiu practic individual, discuție ghidată</w:t>
            </w:r>
          </w:p>
        </w:tc>
        <w:tc>
          <w:tcPr>
            <w:tcW w:w="2977" w:type="dxa"/>
            <w:shd w:val="clear" w:color="auto" w:fill="auto"/>
            <w:vAlign w:val="center"/>
          </w:tcPr>
          <w:p w14:paraId="6EA614A7">
            <w:pPr>
              <w:spacing w:after="0" w:line="240" w:lineRule="auto"/>
              <w:rPr>
                <w:rFonts w:ascii="Cambria" w:hAnsi="Cambria"/>
                <w:sz w:val="20"/>
                <w:szCs w:val="20"/>
              </w:rPr>
            </w:pPr>
            <w:r>
              <w:rPr>
                <w:rFonts w:hint="default" w:ascii="Cambria" w:hAnsi="Cambria"/>
                <w:sz w:val="20"/>
                <w:szCs w:val="20"/>
              </w:rPr>
              <w:t>completarea unei fișe de observație (1 pag.) despre comportamente reale și reacții în situații cotidiene</w:t>
            </w:r>
          </w:p>
        </w:tc>
      </w:tr>
      <w:tr w14:paraId="0580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05F51FCC">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Exercițiu cu trei cuvinte: spațiu, stare, obiect</w:t>
            </w:r>
          </w:p>
        </w:tc>
        <w:tc>
          <w:tcPr>
            <w:tcW w:w="3119" w:type="dxa"/>
            <w:shd w:val="clear" w:color="auto" w:fill="auto"/>
            <w:vAlign w:val="center"/>
          </w:tcPr>
          <w:p w14:paraId="27D189C9">
            <w:pPr>
              <w:spacing w:after="0" w:line="240" w:lineRule="auto"/>
              <w:rPr>
                <w:rFonts w:ascii="Cambria" w:hAnsi="Cambria"/>
                <w:sz w:val="20"/>
                <w:szCs w:val="20"/>
              </w:rPr>
            </w:pPr>
            <w:r>
              <w:rPr>
                <w:rFonts w:hint="default" w:ascii="Cambria" w:hAnsi="Cambria"/>
                <w:sz w:val="20"/>
                <w:szCs w:val="20"/>
              </w:rPr>
              <w:t>exercițiu de improvizație nonverbală, analiză colectivă</w:t>
            </w:r>
          </w:p>
        </w:tc>
        <w:tc>
          <w:tcPr>
            <w:tcW w:w="2977" w:type="dxa"/>
            <w:shd w:val="clear" w:color="auto" w:fill="auto"/>
            <w:vAlign w:val="center"/>
          </w:tcPr>
          <w:p w14:paraId="2C9FB219">
            <w:pPr>
              <w:spacing w:after="0" w:line="240" w:lineRule="auto"/>
              <w:rPr>
                <w:rFonts w:ascii="Cambria" w:hAnsi="Cambria"/>
                <w:sz w:val="20"/>
                <w:szCs w:val="20"/>
              </w:rPr>
            </w:pPr>
            <w:r>
              <w:rPr>
                <w:rFonts w:hint="default" w:ascii="Cambria" w:hAnsi="Cambria"/>
                <w:sz w:val="20"/>
                <w:szCs w:val="20"/>
              </w:rPr>
              <w:t>studenții aleg trei cuvinte și creează un exercițiu extratextual scurt</w:t>
            </w:r>
          </w:p>
        </w:tc>
      </w:tr>
      <w:tr w14:paraId="7D7D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206119C7">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Analiza situației: Pescărușul de A.P. Cehov. Identificarea momentelor extratext</w:t>
            </w:r>
          </w:p>
        </w:tc>
        <w:tc>
          <w:tcPr>
            <w:tcW w:w="3119" w:type="dxa"/>
            <w:shd w:val="clear" w:color="auto" w:fill="auto"/>
            <w:vAlign w:val="center"/>
          </w:tcPr>
          <w:p w14:paraId="4826A110">
            <w:pPr>
              <w:spacing w:after="0" w:line="240" w:lineRule="auto"/>
              <w:rPr>
                <w:rFonts w:ascii="Cambria" w:hAnsi="Cambria"/>
                <w:sz w:val="20"/>
                <w:szCs w:val="20"/>
              </w:rPr>
            </w:pPr>
            <w:r>
              <w:rPr>
                <w:rFonts w:hint="default" w:ascii="Cambria" w:hAnsi="Cambria"/>
                <w:sz w:val="20"/>
                <w:szCs w:val="20"/>
              </w:rPr>
              <w:t>analiză de situație scenică, exercițiu nonverbal</w:t>
            </w:r>
          </w:p>
        </w:tc>
        <w:tc>
          <w:tcPr>
            <w:tcW w:w="2977" w:type="dxa"/>
            <w:shd w:val="clear" w:color="auto" w:fill="auto"/>
            <w:vAlign w:val="center"/>
          </w:tcPr>
          <w:p w14:paraId="0CFDBE61">
            <w:pPr>
              <w:spacing w:after="0" w:line="240" w:lineRule="auto"/>
              <w:rPr>
                <w:rFonts w:ascii="Cambria" w:hAnsi="Cambria"/>
                <w:sz w:val="20"/>
                <w:szCs w:val="20"/>
              </w:rPr>
            </w:pPr>
            <w:r>
              <w:rPr>
                <w:rFonts w:hint="default" w:ascii="Cambria" w:hAnsi="Cambria"/>
                <w:sz w:val="20"/>
                <w:szCs w:val="20"/>
              </w:rPr>
              <w:t>identificarea unei situații din piesă și traducerea ei în acțiune fără cuvinte</w:t>
            </w:r>
          </w:p>
        </w:tc>
      </w:tr>
      <w:tr w14:paraId="5C80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49417A7B">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Spațiul de joc și raporturile de proximitate</w:t>
            </w:r>
          </w:p>
        </w:tc>
        <w:tc>
          <w:tcPr>
            <w:tcW w:w="3119" w:type="dxa"/>
            <w:shd w:val="clear" w:color="auto" w:fill="auto"/>
            <w:vAlign w:val="center"/>
          </w:tcPr>
          <w:p w14:paraId="70049786">
            <w:pPr>
              <w:spacing w:after="0" w:line="240" w:lineRule="auto"/>
              <w:rPr>
                <w:rFonts w:ascii="Cambria" w:hAnsi="Cambria"/>
                <w:sz w:val="20"/>
                <w:szCs w:val="20"/>
              </w:rPr>
            </w:pPr>
            <w:r>
              <w:rPr>
                <w:rFonts w:hint="default" w:ascii="Cambria" w:hAnsi="Cambria"/>
                <w:sz w:val="20"/>
                <w:szCs w:val="20"/>
              </w:rPr>
              <w:t xml:space="preserve">exercițiu practic + feedback </w:t>
            </w:r>
          </w:p>
        </w:tc>
        <w:tc>
          <w:tcPr>
            <w:tcW w:w="2977" w:type="dxa"/>
            <w:shd w:val="clear" w:color="auto" w:fill="auto"/>
            <w:vAlign w:val="center"/>
          </w:tcPr>
          <w:p w14:paraId="7B35DD85">
            <w:pPr>
              <w:spacing w:after="0" w:line="240" w:lineRule="auto"/>
              <w:rPr>
                <w:rFonts w:hint="default" w:ascii="Cambria" w:hAnsi="Cambria"/>
                <w:sz w:val="20"/>
                <w:szCs w:val="20"/>
                <w:lang w:val="ro-RO"/>
              </w:rPr>
            </w:pPr>
            <w:r>
              <w:rPr>
                <w:rFonts w:hint="default" w:ascii="Cambria" w:hAnsi="Cambria"/>
                <w:sz w:val="20"/>
                <w:szCs w:val="20"/>
              </w:rPr>
              <w:t>schiță de spațiu + justificare a alegerilor de dispunere</w:t>
            </w:r>
            <w:r>
              <w:rPr>
                <w:rFonts w:hint="default" w:ascii="Cambria" w:hAnsi="Cambria"/>
                <w:sz w:val="20"/>
                <w:szCs w:val="20"/>
                <w:lang w:val="ro-RO"/>
              </w:rPr>
              <w:t xml:space="preserve"> a personajelor și obiectelor</w:t>
            </w:r>
          </w:p>
        </w:tc>
      </w:tr>
      <w:tr w14:paraId="09C1C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1CAAABE1">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Relația dintre stare și obiect în construcția sensului scenic</w:t>
            </w:r>
          </w:p>
        </w:tc>
        <w:tc>
          <w:tcPr>
            <w:tcW w:w="3119" w:type="dxa"/>
            <w:shd w:val="clear" w:color="auto" w:fill="auto"/>
            <w:vAlign w:val="center"/>
          </w:tcPr>
          <w:p w14:paraId="5C645EE5">
            <w:pPr>
              <w:spacing w:after="0" w:line="240" w:lineRule="auto"/>
              <w:rPr>
                <w:rFonts w:ascii="Cambria" w:hAnsi="Cambria"/>
                <w:sz w:val="20"/>
                <w:szCs w:val="20"/>
              </w:rPr>
            </w:pPr>
            <w:r>
              <w:rPr>
                <w:rFonts w:hint="default" w:ascii="Cambria" w:hAnsi="Cambria"/>
                <w:sz w:val="20"/>
                <w:szCs w:val="20"/>
              </w:rPr>
              <w:t>exercițiu individual + analiză colectivă</w:t>
            </w:r>
          </w:p>
        </w:tc>
        <w:tc>
          <w:tcPr>
            <w:tcW w:w="2977" w:type="dxa"/>
            <w:shd w:val="clear" w:color="auto" w:fill="auto"/>
            <w:vAlign w:val="center"/>
          </w:tcPr>
          <w:p w14:paraId="1CD90903">
            <w:pPr>
              <w:spacing w:after="0" w:line="240" w:lineRule="auto"/>
              <w:rPr>
                <w:rFonts w:ascii="Cambria" w:hAnsi="Cambria"/>
                <w:sz w:val="20"/>
                <w:szCs w:val="20"/>
              </w:rPr>
            </w:pPr>
            <w:r>
              <w:rPr>
                <w:rFonts w:hint="default" w:ascii="Cambria" w:hAnsi="Cambria"/>
                <w:sz w:val="20"/>
                <w:szCs w:val="20"/>
              </w:rPr>
              <w:t>descriere (½ pag.) a modului în care un obiect devine purtător de sens scenic</w:t>
            </w:r>
          </w:p>
        </w:tc>
      </w:tr>
      <w:tr w14:paraId="70C28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042F2998">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 xml:space="preserve">Conflictul interior exprimat corporal. Studiu după </w:t>
            </w:r>
            <w:r>
              <w:rPr>
                <w:rFonts w:hint="default" w:ascii="Cambria" w:hAnsi="Cambria"/>
                <w:i/>
                <w:iCs/>
                <w:sz w:val="20"/>
                <w:szCs w:val="20"/>
                <w:lang w:val="ro-RO"/>
              </w:rPr>
              <w:t>Rabbit Hole</w:t>
            </w:r>
          </w:p>
        </w:tc>
        <w:tc>
          <w:tcPr>
            <w:tcW w:w="3119" w:type="dxa"/>
            <w:shd w:val="clear" w:color="auto" w:fill="auto"/>
            <w:vAlign w:val="center"/>
          </w:tcPr>
          <w:p w14:paraId="6317941B">
            <w:pPr>
              <w:spacing w:after="0" w:line="240" w:lineRule="auto"/>
              <w:rPr>
                <w:rFonts w:ascii="Cambria" w:hAnsi="Cambria"/>
                <w:sz w:val="20"/>
                <w:szCs w:val="20"/>
              </w:rPr>
            </w:pPr>
            <w:r>
              <w:rPr>
                <w:rFonts w:hint="default" w:ascii="Cambria" w:hAnsi="Cambria"/>
                <w:sz w:val="20"/>
                <w:szCs w:val="20"/>
              </w:rPr>
              <w:t>exercițiu practic nonverbal, analiză de caz</w:t>
            </w:r>
          </w:p>
        </w:tc>
        <w:tc>
          <w:tcPr>
            <w:tcW w:w="2977" w:type="dxa"/>
            <w:shd w:val="clear" w:color="auto" w:fill="auto"/>
            <w:vAlign w:val="center"/>
          </w:tcPr>
          <w:p w14:paraId="45433661">
            <w:pPr>
              <w:spacing w:after="0" w:line="240" w:lineRule="auto"/>
              <w:rPr>
                <w:rFonts w:ascii="Cambria" w:hAnsi="Cambria"/>
                <w:sz w:val="20"/>
                <w:szCs w:val="20"/>
              </w:rPr>
            </w:pPr>
            <w:r>
              <w:rPr>
                <w:rFonts w:hint="default" w:ascii="Cambria" w:hAnsi="Cambria"/>
                <w:sz w:val="20"/>
                <w:szCs w:val="20"/>
              </w:rPr>
              <w:t>schiță de acțiune extratextuală pornind dintr-o scenă-cheie</w:t>
            </w:r>
          </w:p>
        </w:tc>
      </w:tr>
      <w:tr w14:paraId="0338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6BBA4012">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Ritmul și durata acțiunii scenice în construcția situației</w:t>
            </w:r>
          </w:p>
        </w:tc>
        <w:tc>
          <w:tcPr>
            <w:tcW w:w="3119" w:type="dxa"/>
            <w:shd w:val="clear" w:color="auto" w:fill="auto"/>
            <w:vAlign w:val="center"/>
          </w:tcPr>
          <w:p w14:paraId="22EC35E2">
            <w:pPr>
              <w:spacing w:after="0" w:line="240" w:lineRule="auto"/>
              <w:rPr>
                <w:rFonts w:ascii="Cambria" w:hAnsi="Cambria"/>
                <w:sz w:val="20"/>
                <w:szCs w:val="20"/>
              </w:rPr>
            </w:pPr>
            <w:r>
              <w:rPr>
                <w:rFonts w:hint="default" w:ascii="Cambria" w:hAnsi="Cambria"/>
                <w:sz w:val="20"/>
                <w:szCs w:val="20"/>
              </w:rPr>
              <w:t>exercițiu practic cu durată fixată, analiză aplicată în grup</w:t>
            </w:r>
          </w:p>
        </w:tc>
        <w:tc>
          <w:tcPr>
            <w:tcW w:w="2977" w:type="dxa"/>
            <w:shd w:val="clear" w:color="auto" w:fill="auto"/>
            <w:vAlign w:val="center"/>
          </w:tcPr>
          <w:p w14:paraId="3CEF51D4">
            <w:pPr>
              <w:spacing w:after="0" w:line="240" w:lineRule="auto"/>
              <w:rPr>
                <w:rFonts w:ascii="Cambria" w:hAnsi="Cambria"/>
                <w:sz w:val="20"/>
                <w:szCs w:val="20"/>
              </w:rPr>
            </w:pPr>
            <w:r>
              <w:rPr>
                <w:rFonts w:hint="default" w:ascii="Cambria" w:hAnsi="Cambria"/>
                <w:sz w:val="20"/>
                <w:szCs w:val="20"/>
              </w:rPr>
              <w:t>studenții cronometrează acțiunea propusă și notează momentele de schimbare a intenției sau de modificare a ritmului</w:t>
            </w:r>
          </w:p>
        </w:tc>
      </w:tr>
      <w:tr w14:paraId="7A89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266B7785">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i/>
                <w:iCs/>
                <w:sz w:val="20"/>
                <w:szCs w:val="20"/>
                <w:lang w:val="ro-RO"/>
              </w:rPr>
              <w:t>Jocul de-a vacanța</w:t>
            </w:r>
            <w:r>
              <w:rPr>
                <w:rFonts w:hint="default" w:ascii="Cambria" w:hAnsi="Cambria"/>
                <w:sz w:val="20"/>
                <w:szCs w:val="20"/>
                <w:lang w:val="ro-RO"/>
              </w:rPr>
              <w:t>: construcția unei atmosfere prin acțiune nonverbală</w:t>
            </w:r>
          </w:p>
        </w:tc>
        <w:tc>
          <w:tcPr>
            <w:tcW w:w="3119" w:type="dxa"/>
            <w:shd w:val="clear" w:color="auto" w:fill="auto"/>
            <w:vAlign w:val="center"/>
          </w:tcPr>
          <w:p w14:paraId="4B5A3F80">
            <w:pPr>
              <w:spacing w:after="0" w:line="240" w:lineRule="auto"/>
              <w:rPr>
                <w:rFonts w:ascii="Cambria" w:hAnsi="Cambria"/>
                <w:sz w:val="20"/>
                <w:szCs w:val="20"/>
              </w:rPr>
            </w:pPr>
            <w:r>
              <w:rPr>
                <w:rFonts w:hint="default" w:ascii="Cambria" w:hAnsi="Cambria"/>
                <w:sz w:val="20"/>
                <w:szCs w:val="20"/>
              </w:rPr>
              <w:t>exercițiu de grup, analiză colectivă</w:t>
            </w:r>
          </w:p>
        </w:tc>
        <w:tc>
          <w:tcPr>
            <w:tcW w:w="2977" w:type="dxa"/>
            <w:shd w:val="clear" w:color="auto" w:fill="auto"/>
            <w:vAlign w:val="center"/>
          </w:tcPr>
          <w:p w14:paraId="1347BFD8">
            <w:pPr>
              <w:spacing w:after="0" w:line="240" w:lineRule="auto"/>
              <w:rPr>
                <w:rFonts w:ascii="Cambria" w:hAnsi="Cambria"/>
                <w:sz w:val="20"/>
                <w:szCs w:val="20"/>
              </w:rPr>
            </w:pPr>
            <w:r>
              <w:rPr>
                <w:rFonts w:hint="default" w:ascii="Cambria" w:hAnsi="Cambria"/>
                <w:sz w:val="20"/>
                <w:szCs w:val="20"/>
              </w:rPr>
              <w:t>exercițiu nonverbal inspirat de o scenă cu atmosferă precisă</w:t>
            </w:r>
          </w:p>
        </w:tc>
      </w:tr>
      <w:tr w14:paraId="43C5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3015564">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Construirea relației scenice prin direcția atenției și reacția vizibilă</w:t>
            </w:r>
          </w:p>
        </w:tc>
        <w:tc>
          <w:tcPr>
            <w:tcW w:w="3119" w:type="dxa"/>
            <w:shd w:val="clear" w:color="auto" w:fill="auto"/>
            <w:vAlign w:val="center"/>
          </w:tcPr>
          <w:p w14:paraId="12F7E863">
            <w:pPr>
              <w:spacing w:after="0" w:line="240" w:lineRule="auto"/>
              <w:rPr>
                <w:rFonts w:ascii="Cambria" w:hAnsi="Cambria"/>
                <w:sz w:val="20"/>
                <w:szCs w:val="20"/>
              </w:rPr>
            </w:pPr>
            <w:r>
              <w:rPr>
                <w:rFonts w:hint="default" w:ascii="Cambria" w:hAnsi="Cambria"/>
                <w:sz w:val="20"/>
                <w:szCs w:val="20"/>
              </w:rPr>
              <w:t>exercițiu de perechi, analiză aplicată și feedback colectiv</w:t>
            </w:r>
          </w:p>
        </w:tc>
        <w:tc>
          <w:tcPr>
            <w:tcW w:w="2977" w:type="dxa"/>
            <w:shd w:val="clear" w:color="auto" w:fill="auto"/>
            <w:vAlign w:val="center"/>
          </w:tcPr>
          <w:p w14:paraId="0C8701FB">
            <w:pPr>
              <w:spacing w:after="0" w:line="240" w:lineRule="auto"/>
              <w:rPr>
                <w:rFonts w:ascii="Cambria" w:hAnsi="Cambria"/>
                <w:sz w:val="20"/>
                <w:szCs w:val="20"/>
              </w:rPr>
            </w:pPr>
            <w:r>
              <w:rPr>
                <w:rFonts w:hint="default" w:ascii="Cambria" w:hAnsi="Cambria"/>
                <w:sz w:val="20"/>
                <w:szCs w:val="20"/>
              </w:rPr>
              <w:t>fiecare student propune o situație simplă între două prezențe scenice, concentrându-se pe claritatea intenției și pe logica reacției vizibile (fără dialog verbal)</w:t>
            </w:r>
          </w:p>
        </w:tc>
      </w:tr>
      <w:tr w14:paraId="397B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39E3E628">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Transpunerea unui text în acțiune și identificarea momentelor extratext</w:t>
            </w:r>
          </w:p>
        </w:tc>
        <w:tc>
          <w:tcPr>
            <w:tcW w:w="3119" w:type="dxa"/>
            <w:shd w:val="clear" w:color="auto" w:fill="auto"/>
            <w:vAlign w:val="center"/>
          </w:tcPr>
          <w:p w14:paraId="76974EDB">
            <w:pPr>
              <w:spacing w:after="0" w:line="240" w:lineRule="auto"/>
              <w:rPr>
                <w:rFonts w:ascii="Cambria" w:hAnsi="Cambria"/>
                <w:sz w:val="20"/>
                <w:szCs w:val="20"/>
              </w:rPr>
            </w:pPr>
            <w:r>
              <w:rPr>
                <w:rFonts w:hint="default" w:ascii="Cambria" w:hAnsi="Cambria"/>
                <w:sz w:val="20"/>
                <w:szCs w:val="20"/>
              </w:rPr>
              <w:t>analiză de text + aplicație practică</w:t>
            </w:r>
          </w:p>
        </w:tc>
        <w:tc>
          <w:tcPr>
            <w:tcW w:w="2977" w:type="dxa"/>
            <w:shd w:val="clear" w:color="auto" w:fill="auto"/>
            <w:vAlign w:val="center"/>
          </w:tcPr>
          <w:p w14:paraId="27C10541">
            <w:pPr>
              <w:spacing w:after="0" w:line="240" w:lineRule="auto"/>
              <w:rPr>
                <w:rFonts w:ascii="Cambria" w:hAnsi="Cambria"/>
                <w:sz w:val="20"/>
                <w:szCs w:val="20"/>
              </w:rPr>
            </w:pPr>
            <w:r>
              <w:rPr>
                <w:rFonts w:hint="default" w:ascii="Cambria" w:hAnsi="Cambria"/>
                <w:sz w:val="20"/>
                <w:szCs w:val="20"/>
              </w:rPr>
              <w:t>alegerea unui fragment și traducerea situației în limbaj corporal</w:t>
            </w:r>
          </w:p>
        </w:tc>
      </w:tr>
      <w:tr w14:paraId="0B02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4C6CEF8">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Documentarea pentru caietul de regie</w:t>
            </w:r>
          </w:p>
        </w:tc>
        <w:tc>
          <w:tcPr>
            <w:tcW w:w="3119" w:type="dxa"/>
            <w:shd w:val="clear" w:color="auto" w:fill="auto"/>
            <w:vAlign w:val="center"/>
          </w:tcPr>
          <w:p w14:paraId="387D993D">
            <w:pPr>
              <w:spacing w:after="0" w:line="240" w:lineRule="auto"/>
              <w:rPr>
                <w:rFonts w:ascii="Cambria" w:hAnsi="Cambria"/>
                <w:sz w:val="20"/>
                <w:szCs w:val="20"/>
              </w:rPr>
            </w:pPr>
            <w:r>
              <w:rPr>
                <w:rFonts w:hint="default" w:ascii="Cambria" w:hAnsi="Cambria"/>
                <w:sz w:val="20"/>
                <w:szCs w:val="20"/>
              </w:rPr>
              <w:t>discuție individuală + ghidare aplicată</w:t>
            </w:r>
          </w:p>
        </w:tc>
        <w:tc>
          <w:tcPr>
            <w:tcW w:w="2977" w:type="dxa"/>
            <w:shd w:val="clear" w:color="auto" w:fill="auto"/>
            <w:vAlign w:val="center"/>
          </w:tcPr>
          <w:p w14:paraId="653AAF86">
            <w:pPr>
              <w:spacing w:after="0" w:line="240" w:lineRule="auto"/>
              <w:rPr>
                <w:rFonts w:ascii="Cambria" w:hAnsi="Cambria"/>
                <w:sz w:val="20"/>
                <w:szCs w:val="20"/>
              </w:rPr>
            </w:pPr>
            <w:r>
              <w:rPr>
                <w:rFonts w:hint="default" w:ascii="Cambria" w:hAnsi="Cambria"/>
                <w:sz w:val="20"/>
                <w:szCs w:val="20"/>
              </w:rPr>
              <w:t>completarea secțiunilor de observație, schițe și note de concept</w:t>
            </w:r>
          </w:p>
        </w:tc>
      </w:tr>
      <w:tr w14:paraId="5E96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2D63DB0">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Elaborarea exercițiului final extratextual</w:t>
            </w:r>
          </w:p>
        </w:tc>
        <w:tc>
          <w:tcPr>
            <w:tcW w:w="3119" w:type="dxa"/>
            <w:shd w:val="clear" w:color="auto" w:fill="auto"/>
            <w:vAlign w:val="center"/>
          </w:tcPr>
          <w:p w14:paraId="09CBE75F">
            <w:pPr>
              <w:spacing w:after="0" w:line="240" w:lineRule="auto"/>
              <w:rPr>
                <w:rFonts w:ascii="Cambria" w:hAnsi="Cambria"/>
                <w:sz w:val="20"/>
                <w:szCs w:val="20"/>
              </w:rPr>
            </w:pPr>
            <w:r>
              <w:rPr>
                <w:rFonts w:hint="default" w:ascii="Cambria" w:hAnsi="Cambria"/>
                <w:sz w:val="20"/>
                <w:szCs w:val="20"/>
              </w:rPr>
              <w:t>lucru individual asistat</w:t>
            </w:r>
          </w:p>
        </w:tc>
        <w:tc>
          <w:tcPr>
            <w:tcW w:w="2977" w:type="dxa"/>
            <w:shd w:val="clear" w:color="auto" w:fill="auto"/>
            <w:vAlign w:val="center"/>
          </w:tcPr>
          <w:p w14:paraId="5D40CA2D">
            <w:pPr>
              <w:spacing w:after="0" w:line="240" w:lineRule="auto"/>
              <w:rPr>
                <w:rFonts w:ascii="Cambria" w:hAnsi="Cambria"/>
                <w:sz w:val="20"/>
                <w:szCs w:val="20"/>
              </w:rPr>
            </w:pPr>
            <w:r>
              <w:rPr>
                <w:rFonts w:hint="default" w:ascii="Cambria" w:hAnsi="Cambria"/>
                <w:sz w:val="20"/>
                <w:szCs w:val="20"/>
              </w:rPr>
              <w:t>redactarea sinopsisului și a planului de acțiune pentru examen</w:t>
            </w:r>
          </w:p>
        </w:tc>
      </w:tr>
      <w:tr w14:paraId="543F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5FE85FC">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Structura caietului de regie (I): sinteză și organizare</w:t>
            </w:r>
          </w:p>
        </w:tc>
        <w:tc>
          <w:tcPr>
            <w:tcW w:w="3119" w:type="dxa"/>
            <w:shd w:val="clear" w:color="auto" w:fill="auto"/>
            <w:vAlign w:val="center"/>
          </w:tcPr>
          <w:p w14:paraId="0B6D3D82">
            <w:pPr>
              <w:spacing w:after="0" w:line="240" w:lineRule="auto"/>
              <w:rPr>
                <w:rFonts w:ascii="Cambria" w:hAnsi="Cambria"/>
                <w:sz w:val="20"/>
                <w:szCs w:val="20"/>
              </w:rPr>
            </w:pPr>
            <w:r>
              <w:rPr>
                <w:rFonts w:hint="default" w:ascii="Cambria" w:hAnsi="Cambria"/>
                <w:sz w:val="20"/>
                <w:szCs w:val="20"/>
              </w:rPr>
              <w:t>analiză colectivă + prezentare individuală</w:t>
            </w:r>
          </w:p>
        </w:tc>
        <w:tc>
          <w:tcPr>
            <w:tcW w:w="2977" w:type="dxa"/>
            <w:shd w:val="clear" w:color="auto" w:fill="auto"/>
            <w:vAlign w:val="center"/>
          </w:tcPr>
          <w:p w14:paraId="4D31E06A">
            <w:pPr>
              <w:spacing w:after="0" w:line="240" w:lineRule="auto"/>
              <w:rPr>
                <w:rFonts w:hint="default" w:ascii="Cambria" w:hAnsi="Cambria"/>
                <w:sz w:val="20"/>
                <w:szCs w:val="20"/>
                <w:lang w:val="ro-RO"/>
              </w:rPr>
            </w:pPr>
            <w:r>
              <w:rPr>
                <w:rFonts w:hint="default" w:ascii="Cambria" w:hAnsi="Cambria"/>
                <w:sz w:val="20"/>
                <w:szCs w:val="20"/>
              </w:rPr>
              <w:t xml:space="preserve">ordonarea materialelor, redactarea introducerii și </w:t>
            </w:r>
            <w:r>
              <w:rPr>
                <w:rFonts w:hint="default" w:ascii="Cambria" w:hAnsi="Cambria"/>
                <w:sz w:val="20"/>
                <w:szCs w:val="20"/>
                <w:lang w:val="ro-RO"/>
              </w:rPr>
              <w:t>analiza procesului scenic</w:t>
            </w:r>
          </w:p>
        </w:tc>
      </w:tr>
      <w:tr w14:paraId="2535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22D2E0D9">
            <w:pPr>
              <w:numPr>
                <w:ilvl w:val="0"/>
                <w:numId w:val="5"/>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Structura caietului de regie (II): prezentare și feedback final</w:t>
            </w:r>
          </w:p>
        </w:tc>
        <w:tc>
          <w:tcPr>
            <w:tcW w:w="3119" w:type="dxa"/>
            <w:shd w:val="clear" w:color="auto" w:fill="auto"/>
            <w:vAlign w:val="center"/>
          </w:tcPr>
          <w:p w14:paraId="592A195A">
            <w:pPr>
              <w:spacing w:after="0" w:line="240" w:lineRule="auto"/>
              <w:rPr>
                <w:rFonts w:ascii="Cambria" w:hAnsi="Cambria"/>
                <w:sz w:val="20"/>
                <w:szCs w:val="20"/>
              </w:rPr>
            </w:pPr>
            <w:r>
              <w:rPr>
                <w:rFonts w:hint="default" w:ascii="Cambria" w:hAnsi="Cambria"/>
                <w:sz w:val="20"/>
                <w:szCs w:val="20"/>
              </w:rPr>
              <w:t>prezentări individuale + discuție critică</w:t>
            </w:r>
          </w:p>
        </w:tc>
        <w:tc>
          <w:tcPr>
            <w:tcW w:w="2977" w:type="dxa"/>
            <w:shd w:val="clear" w:color="auto" w:fill="auto"/>
            <w:vAlign w:val="center"/>
          </w:tcPr>
          <w:p w14:paraId="1FF6EFF1">
            <w:pPr>
              <w:spacing w:after="0" w:line="240" w:lineRule="auto"/>
              <w:rPr>
                <w:rFonts w:ascii="Cambria" w:hAnsi="Cambria"/>
                <w:sz w:val="20"/>
                <w:szCs w:val="20"/>
              </w:rPr>
            </w:pPr>
            <w:r>
              <w:rPr>
                <w:rFonts w:hint="default" w:ascii="Cambria" w:hAnsi="Cambria"/>
                <w:sz w:val="20"/>
                <w:szCs w:val="20"/>
              </w:rPr>
              <w:t>predarea caietului de regie complet, care include exercițiile, reflecțiile și documentarea individuală</w:t>
            </w:r>
          </w:p>
        </w:tc>
      </w:tr>
      <w:tr w14:paraId="25120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1" w:type="dxa"/>
            <w:gridSpan w:val="3"/>
            <w:shd w:val="clear" w:color="auto" w:fill="auto"/>
            <w:vAlign w:val="center"/>
          </w:tcPr>
          <w:p w14:paraId="1A108469">
            <w:pPr>
              <w:pStyle w:val="17"/>
              <w:keepNext w:val="0"/>
              <w:keepLines w:val="0"/>
              <w:widowControl/>
              <w:suppressLineNumbers w:val="0"/>
              <w:rPr>
                <w:b w:val="0"/>
                <w:bCs w:val="0"/>
                <w:sz w:val="20"/>
                <w:szCs w:val="20"/>
              </w:rPr>
            </w:pPr>
            <w:r>
              <w:rPr>
                <w:rFonts w:ascii="Cambria" w:hAnsi="Cambria"/>
                <w:b w:val="0"/>
                <w:bCs w:val="0"/>
                <w:sz w:val="20"/>
                <w:szCs w:val="20"/>
              </w:rPr>
              <w:t>Bibliografie</w:t>
            </w:r>
            <w:r>
              <w:rPr>
                <w:rFonts w:ascii="Cambria" w:hAnsi="Cambria"/>
                <w:b w:val="0"/>
                <w:bCs w:val="0"/>
                <w:sz w:val="20"/>
                <w:szCs w:val="20"/>
              </w:rPr>
              <w:br w:type="textWrapping"/>
            </w:r>
            <w:r>
              <w:rPr>
                <w:rFonts w:ascii="Cambria" w:hAnsi="Cambria"/>
                <w:b w:val="0"/>
                <w:bCs w:val="0"/>
                <w:sz w:val="20"/>
                <w:szCs w:val="20"/>
              </w:rPr>
              <w:br w:type="textWrapping"/>
            </w:r>
            <w:r>
              <w:rPr>
                <w:rFonts w:hint="default" w:ascii="Cambria" w:hAnsi="Cambria"/>
                <w:b w:val="0"/>
                <w:bCs w:val="0"/>
                <w:sz w:val="20"/>
                <w:szCs w:val="20"/>
                <w:lang w:val="ro-RO"/>
              </w:rPr>
              <w:t xml:space="preserve">1. </w:t>
            </w:r>
            <w:r>
              <w:rPr>
                <w:rStyle w:val="18"/>
                <w:b w:val="0"/>
                <w:bCs w:val="0"/>
                <w:sz w:val="20"/>
                <w:szCs w:val="20"/>
              </w:rPr>
              <w:t>Hans-Thies Lehmann</w:t>
            </w:r>
            <w:r>
              <w:rPr>
                <w:b w:val="0"/>
                <w:bCs w:val="0"/>
                <w:sz w:val="20"/>
                <w:szCs w:val="20"/>
              </w:rPr>
              <w:t xml:space="preserve">, </w:t>
            </w:r>
            <w:r>
              <w:rPr>
                <w:rStyle w:val="13"/>
                <w:b w:val="0"/>
                <w:bCs w:val="0"/>
                <w:sz w:val="20"/>
                <w:szCs w:val="20"/>
              </w:rPr>
              <w:t>Teatrul postdramatic</w:t>
            </w:r>
            <w:r>
              <w:rPr>
                <w:b w:val="0"/>
                <w:bCs w:val="0"/>
                <w:sz w:val="20"/>
                <w:szCs w:val="20"/>
              </w:rPr>
              <w:t xml:space="preserve">, traducere de </w:t>
            </w:r>
            <w:r>
              <w:rPr>
                <w:rFonts w:hint="default"/>
                <w:b w:val="0"/>
                <w:bCs w:val="0"/>
                <w:sz w:val="20"/>
                <w:szCs w:val="20"/>
              </w:rPr>
              <w:t>Victor Scoradeț</w:t>
            </w:r>
            <w:r>
              <w:rPr>
                <w:b w:val="0"/>
                <w:bCs w:val="0"/>
                <w:sz w:val="20"/>
                <w:szCs w:val="20"/>
              </w:rPr>
              <w:t xml:space="preserve">, București: </w:t>
            </w:r>
            <w:r>
              <w:rPr>
                <w:rStyle w:val="18"/>
                <w:b w:val="0"/>
                <w:bCs w:val="0"/>
                <w:sz w:val="20"/>
                <w:szCs w:val="20"/>
              </w:rPr>
              <w:t>Editura Unitext</w:t>
            </w:r>
            <w:r>
              <w:rPr>
                <w:b w:val="0"/>
                <w:bCs w:val="0"/>
                <w:sz w:val="20"/>
                <w:szCs w:val="20"/>
              </w:rPr>
              <w:t xml:space="preserve">, 2009. ISBN </w:t>
            </w:r>
            <w:r>
              <w:rPr>
                <w:rStyle w:val="18"/>
                <w:b w:val="0"/>
                <w:bCs w:val="0"/>
                <w:sz w:val="20"/>
                <w:szCs w:val="20"/>
              </w:rPr>
              <w:t>978-973-8129-44-3</w:t>
            </w:r>
            <w:r>
              <w:rPr>
                <w:b w:val="0"/>
                <w:bCs w:val="0"/>
                <w:sz w:val="20"/>
                <w:szCs w:val="20"/>
              </w:rPr>
              <w:t>.</w:t>
            </w:r>
          </w:p>
          <w:p w14:paraId="607DF51A">
            <w:pPr>
              <w:pStyle w:val="17"/>
              <w:keepNext w:val="0"/>
              <w:keepLines w:val="0"/>
              <w:widowControl/>
              <w:numPr>
                <w:ilvl w:val="0"/>
                <w:numId w:val="4"/>
              </w:numPr>
              <w:suppressLineNumbers w:val="0"/>
              <w:rPr>
                <w:b w:val="0"/>
                <w:bCs w:val="0"/>
                <w:sz w:val="20"/>
                <w:szCs w:val="20"/>
              </w:rPr>
            </w:pPr>
            <w:r>
              <w:rPr>
                <w:rStyle w:val="18"/>
                <w:b w:val="0"/>
                <w:bCs w:val="0"/>
                <w:sz w:val="20"/>
                <w:szCs w:val="20"/>
              </w:rPr>
              <w:t>Patrice Pavis</w:t>
            </w:r>
            <w:r>
              <w:rPr>
                <w:b w:val="0"/>
                <w:bCs w:val="0"/>
                <w:sz w:val="20"/>
                <w:szCs w:val="20"/>
              </w:rPr>
              <w:t xml:space="preserve">, </w:t>
            </w:r>
            <w:r>
              <w:rPr>
                <w:rStyle w:val="13"/>
                <w:b w:val="0"/>
                <w:bCs w:val="0"/>
                <w:sz w:val="20"/>
                <w:szCs w:val="20"/>
              </w:rPr>
              <w:t>Dicționar de teatru</w:t>
            </w:r>
            <w:r>
              <w:rPr>
                <w:b w:val="0"/>
                <w:bCs w:val="0"/>
                <w:sz w:val="20"/>
                <w:szCs w:val="20"/>
              </w:rPr>
              <w:t xml:space="preserve">, traducere de </w:t>
            </w:r>
            <w:r>
              <w:rPr>
                <w:rStyle w:val="18"/>
                <w:b w:val="0"/>
                <w:bCs w:val="0"/>
                <w:sz w:val="20"/>
                <w:szCs w:val="20"/>
              </w:rPr>
              <w:t>Mirella Nedelcu-Pătureanu</w:t>
            </w:r>
            <w:r>
              <w:rPr>
                <w:b w:val="0"/>
                <w:bCs w:val="0"/>
                <w:sz w:val="20"/>
                <w:szCs w:val="20"/>
              </w:rPr>
              <w:t xml:space="preserve">, Iași: </w:t>
            </w:r>
            <w:r>
              <w:rPr>
                <w:rStyle w:val="18"/>
                <w:b w:val="0"/>
                <w:bCs w:val="0"/>
                <w:sz w:val="20"/>
                <w:szCs w:val="20"/>
              </w:rPr>
              <w:t>Editura Fides</w:t>
            </w:r>
            <w:r>
              <w:rPr>
                <w:b w:val="0"/>
                <w:bCs w:val="0"/>
                <w:sz w:val="20"/>
                <w:szCs w:val="20"/>
              </w:rPr>
              <w:t xml:space="preserve">, 2012. ISBN </w:t>
            </w:r>
            <w:r>
              <w:rPr>
                <w:rStyle w:val="18"/>
                <w:b w:val="0"/>
                <w:bCs w:val="0"/>
                <w:sz w:val="20"/>
                <w:szCs w:val="20"/>
              </w:rPr>
              <w:t>978-973-8930-95-7</w:t>
            </w:r>
            <w:r>
              <w:rPr>
                <w:b w:val="0"/>
                <w:bCs w:val="0"/>
                <w:sz w:val="20"/>
                <w:szCs w:val="20"/>
              </w:rPr>
              <w:t>.</w:t>
            </w:r>
            <w:r>
              <w:rPr>
                <w:b w:val="0"/>
                <w:bCs w:val="0"/>
                <w:sz w:val="20"/>
                <w:szCs w:val="20"/>
              </w:rPr>
              <w:br w:type="textWrapping"/>
            </w:r>
          </w:p>
          <w:p w14:paraId="47FA1255">
            <w:pPr>
              <w:pStyle w:val="17"/>
              <w:keepNext w:val="0"/>
              <w:keepLines w:val="0"/>
              <w:widowControl/>
              <w:numPr>
                <w:ilvl w:val="0"/>
                <w:numId w:val="4"/>
              </w:numPr>
              <w:suppressLineNumbers w:val="0"/>
              <w:ind w:left="0" w:leftChars="0" w:firstLine="0" w:firstLineChars="0"/>
              <w:rPr>
                <w:b w:val="0"/>
                <w:bCs w:val="0"/>
                <w:sz w:val="20"/>
                <w:szCs w:val="20"/>
              </w:rPr>
            </w:pPr>
            <w:r>
              <w:rPr>
                <w:rStyle w:val="18"/>
                <w:b w:val="0"/>
                <w:bCs w:val="0"/>
                <w:sz w:val="20"/>
                <w:szCs w:val="20"/>
              </w:rPr>
              <w:t>Konstantin S. Stanislavski</w:t>
            </w:r>
            <w:r>
              <w:rPr>
                <w:b w:val="0"/>
                <w:bCs w:val="0"/>
                <w:sz w:val="20"/>
                <w:szCs w:val="20"/>
              </w:rPr>
              <w:t xml:space="preserve">, </w:t>
            </w:r>
            <w:r>
              <w:rPr>
                <w:rStyle w:val="13"/>
                <w:b w:val="0"/>
                <w:bCs w:val="0"/>
                <w:sz w:val="20"/>
                <w:szCs w:val="20"/>
              </w:rPr>
              <w:t>Munca actorului cu sine însuși</w:t>
            </w:r>
            <w:r>
              <w:rPr>
                <w:b w:val="0"/>
                <w:bCs w:val="0"/>
                <w:sz w:val="20"/>
                <w:szCs w:val="20"/>
              </w:rPr>
              <w:t xml:space="preserve"> (vol. I), traducere de </w:t>
            </w:r>
            <w:r>
              <w:rPr>
                <w:rStyle w:val="18"/>
                <w:b w:val="0"/>
                <w:bCs w:val="0"/>
                <w:sz w:val="20"/>
                <w:szCs w:val="20"/>
              </w:rPr>
              <w:t>Raluca Rădulescu</w:t>
            </w:r>
            <w:r>
              <w:rPr>
                <w:b w:val="0"/>
                <w:bCs w:val="0"/>
                <w:sz w:val="20"/>
                <w:szCs w:val="20"/>
              </w:rPr>
              <w:t xml:space="preserve">, București: </w:t>
            </w:r>
            <w:r>
              <w:rPr>
                <w:rStyle w:val="18"/>
                <w:b w:val="0"/>
                <w:bCs w:val="0"/>
                <w:sz w:val="20"/>
                <w:szCs w:val="20"/>
              </w:rPr>
              <w:t>Editura Nemira</w:t>
            </w:r>
            <w:r>
              <w:rPr>
                <w:b w:val="0"/>
                <w:bCs w:val="0"/>
                <w:sz w:val="20"/>
                <w:szCs w:val="20"/>
              </w:rPr>
              <w:t xml:space="preserve">, 2021. ISBN </w:t>
            </w:r>
            <w:r>
              <w:rPr>
                <w:rStyle w:val="18"/>
                <w:b w:val="0"/>
                <w:bCs w:val="0"/>
                <w:sz w:val="20"/>
                <w:szCs w:val="20"/>
              </w:rPr>
              <w:t>978-606-43-1036-1</w:t>
            </w:r>
            <w:r>
              <w:rPr>
                <w:b w:val="0"/>
                <w:bCs w:val="0"/>
                <w:sz w:val="20"/>
                <w:szCs w:val="20"/>
              </w:rPr>
              <w:t>.</w:t>
            </w:r>
            <w:r>
              <w:rPr>
                <w:b w:val="0"/>
                <w:bCs w:val="0"/>
                <w:sz w:val="20"/>
                <w:szCs w:val="20"/>
              </w:rPr>
              <w:br w:type="textWrapping"/>
            </w:r>
          </w:p>
          <w:p w14:paraId="7F193045">
            <w:pPr>
              <w:pStyle w:val="17"/>
              <w:keepNext w:val="0"/>
              <w:keepLines w:val="0"/>
              <w:widowControl/>
              <w:numPr>
                <w:ilvl w:val="0"/>
                <w:numId w:val="4"/>
              </w:numPr>
              <w:suppressLineNumbers w:val="0"/>
              <w:ind w:left="0" w:leftChars="0" w:firstLine="0" w:firstLineChars="0"/>
              <w:rPr>
                <w:b w:val="0"/>
                <w:bCs w:val="0"/>
                <w:sz w:val="20"/>
                <w:szCs w:val="20"/>
              </w:rPr>
            </w:pPr>
            <w:r>
              <w:rPr>
                <w:rStyle w:val="18"/>
                <w:b w:val="0"/>
                <w:bCs w:val="0"/>
                <w:sz w:val="20"/>
                <w:szCs w:val="20"/>
              </w:rPr>
              <w:t>Katie Mitchell</w:t>
            </w:r>
            <w:r>
              <w:rPr>
                <w:b w:val="0"/>
                <w:bCs w:val="0"/>
                <w:sz w:val="20"/>
                <w:szCs w:val="20"/>
              </w:rPr>
              <w:t xml:space="preserve">, </w:t>
            </w:r>
            <w:r>
              <w:rPr>
                <w:rStyle w:val="13"/>
                <w:b w:val="0"/>
                <w:bCs w:val="0"/>
                <w:sz w:val="20"/>
                <w:szCs w:val="20"/>
              </w:rPr>
              <w:t>Profesia de regizor. Un manual de teatru</w:t>
            </w:r>
            <w:r>
              <w:rPr>
                <w:b w:val="0"/>
                <w:bCs w:val="0"/>
                <w:sz w:val="20"/>
                <w:szCs w:val="20"/>
              </w:rPr>
              <w:t xml:space="preserve">, traducere de </w:t>
            </w:r>
            <w:r>
              <w:rPr>
                <w:rStyle w:val="18"/>
                <w:b w:val="0"/>
                <w:bCs w:val="0"/>
                <w:sz w:val="20"/>
                <w:szCs w:val="20"/>
              </w:rPr>
              <w:t>Edith Negulici</w:t>
            </w:r>
            <w:r>
              <w:rPr>
                <w:b w:val="0"/>
                <w:bCs w:val="0"/>
                <w:sz w:val="20"/>
                <w:szCs w:val="20"/>
              </w:rPr>
              <w:t xml:space="preserve">, București: </w:t>
            </w:r>
            <w:r>
              <w:rPr>
                <w:rStyle w:val="18"/>
                <w:b w:val="0"/>
                <w:bCs w:val="0"/>
                <w:sz w:val="20"/>
                <w:szCs w:val="20"/>
              </w:rPr>
              <w:t>U.N.A.T.C. Press</w:t>
            </w:r>
            <w:r>
              <w:rPr>
                <w:b w:val="0"/>
                <w:bCs w:val="0"/>
                <w:sz w:val="20"/>
                <w:szCs w:val="20"/>
              </w:rPr>
              <w:t xml:space="preserve">, 2019. ISBN </w:t>
            </w:r>
            <w:r>
              <w:rPr>
                <w:rStyle w:val="18"/>
                <w:b w:val="0"/>
                <w:bCs w:val="0"/>
                <w:sz w:val="20"/>
                <w:szCs w:val="20"/>
              </w:rPr>
              <w:t>978-606-8757-49-0</w:t>
            </w:r>
            <w:r>
              <w:rPr>
                <w:b w:val="0"/>
                <w:bCs w:val="0"/>
                <w:sz w:val="20"/>
                <w:szCs w:val="20"/>
              </w:rPr>
              <w:t>.</w:t>
            </w:r>
            <w:r>
              <w:rPr>
                <w:b w:val="0"/>
                <w:bCs w:val="0"/>
                <w:sz w:val="20"/>
                <w:szCs w:val="20"/>
              </w:rPr>
              <w:br w:type="textWrapping"/>
            </w:r>
          </w:p>
          <w:p w14:paraId="65706CFD">
            <w:pPr>
              <w:pStyle w:val="17"/>
              <w:keepNext w:val="0"/>
              <w:keepLines w:val="0"/>
              <w:widowControl/>
              <w:numPr>
                <w:ilvl w:val="0"/>
                <w:numId w:val="4"/>
              </w:numPr>
              <w:suppressLineNumbers w:val="0"/>
              <w:ind w:left="0" w:leftChars="0" w:firstLine="0" w:firstLineChars="0"/>
              <w:rPr>
                <w:rFonts w:ascii="Cambria" w:hAnsi="Cambria"/>
                <w:sz w:val="20"/>
                <w:szCs w:val="20"/>
              </w:rPr>
            </w:pPr>
            <w:r>
              <w:rPr>
                <w:rStyle w:val="18"/>
                <w:b w:val="0"/>
                <w:bCs w:val="0"/>
                <w:sz w:val="20"/>
                <w:szCs w:val="20"/>
              </w:rPr>
              <w:t>Peter Brook</w:t>
            </w:r>
            <w:r>
              <w:rPr>
                <w:b w:val="0"/>
                <w:bCs w:val="0"/>
                <w:sz w:val="20"/>
                <w:szCs w:val="20"/>
              </w:rPr>
              <w:t xml:space="preserve">, </w:t>
            </w:r>
            <w:r>
              <w:rPr>
                <w:rStyle w:val="13"/>
                <w:b w:val="0"/>
                <w:bCs w:val="0"/>
                <w:sz w:val="20"/>
                <w:szCs w:val="20"/>
              </w:rPr>
              <w:t>Spațiul gol</w:t>
            </w:r>
            <w:r>
              <w:rPr>
                <w:b w:val="0"/>
                <w:bCs w:val="0"/>
                <w:sz w:val="20"/>
                <w:szCs w:val="20"/>
              </w:rPr>
              <w:t xml:space="preserve">, traducere de </w:t>
            </w:r>
            <w:r>
              <w:rPr>
                <w:rStyle w:val="18"/>
                <w:b w:val="0"/>
                <w:bCs w:val="0"/>
                <w:sz w:val="20"/>
                <w:szCs w:val="20"/>
              </w:rPr>
              <w:t>Monica Andronescu</w:t>
            </w:r>
            <w:r>
              <w:rPr>
                <w:b w:val="0"/>
                <w:bCs w:val="0"/>
                <w:sz w:val="20"/>
                <w:szCs w:val="20"/>
              </w:rPr>
              <w:t xml:space="preserve">, București: </w:t>
            </w:r>
            <w:r>
              <w:rPr>
                <w:rStyle w:val="18"/>
                <w:b w:val="0"/>
                <w:bCs w:val="0"/>
                <w:sz w:val="20"/>
                <w:szCs w:val="20"/>
              </w:rPr>
              <w:t>Editura Nemira</w:t>
            </w:r>
            <w:r>
              <w:rPr>
                <w:b w:val="0"/>
                <w:bCs w:val="0"/>
                <w:sz w:val="20"/>
                <w:szCs w:val="20"/>
              </w:rPr>
              <w:t xml:space="preserve">, colecția </w:t>
            </w:r>
            <w:r>
              <w:rPr>
                <w:rStyle w:val="13"/>
                <w:b w:val="0"/>
                <w:bCs w:val="0"/>
                <w:sz w:val="20"/>
                <w:szCs w:val="20"/>
              </w:rPr>
              <w:t>Yorick</w:t>
            </w:r>
            <w:r>
              <w:rPr>
                <w:b w:val="0"/>
                <w:bCs w:val="0"/>
                <w:sz w:val="20"/>
                <w:szCs w:val="20"/>
              </w:rPr>
              <w:t xml:space="preserve">, reeditare 2023. ISBN </w:t>
            </w:r>
            <w:r>
              <w:rPr>
                <w:rStyle w:val="18"/>
                <w:b w:val="0"/>
                <w:bCs w:val="0"/>
                <w:sz w:val="20"/>
                <w:szCs w:val="20"/>
              </w:rPr>
              <w:t>978-606-43-1666-0</w:t>
            </w:r>
            <w:r>
              <w:rPr>
                <w:b w:val="0"/>
                <w:bCs w:val="0"/>
                <w:sz w:val="20"/>
                <w:szCs w:val="20"/>
              </w:rPr>
              <w:t>.</w:t>
            </w:r>
          </w:p>
        </w:tc>
      </w:tr>
    </w:tbl>
    <w:p w14:paraId="65CC45BE">
      <w:pPr>
        <w:rPr>
          <w:rFonts w:ascii="Cambria" w:hAnsi="Cambria"/>
          <w:sz w:val="20"/>
          <w:szCs w:val="20"/>
        </w:rPr>
      </w:pPr>
    </w:p>
    <w:p w14:paraId="4A5A0AA0">
      <w:pPr>
        <w:spacing w:after="0" w:line="240" w:lineRule="auto"/>
        <w:ind w:left="-426"/>
        <w:rPr>
          <w:rFonts w:ascii="Cambria" w:hAnsi="Cambria"/>
          <w:b/>
          <w:sz w:val="20"/>
          <w:szCs w:val="20"/>
        </w:rPr>
      </w:pPr>
      <w:r>
        <w:rPr>
          <w:rFonts w:ascii="Cambria" w:hAnsi="Cambria"/>
          <w:b/>
          <w:sz w:val="20"/>
          <w:szCs w:val="20"/>
        </w:rPr>
        <w:t>9. Coroborarea conținuturilor disciplinei cu așteptările reprezentanților comunității epistemice, asociațiilor profesionale și angajatori reprezentativi din domeniul aferent programului</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1"/>
      </w:tblGrid>
      <w:tr w14:paraId="6976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trPr>
        <w:tc>
          <w:tcPr>
            <w:tcW w:w="10491" w:type="dxa"/>
          </w:tcPr>
          <w:p w14:paraId="049C29A7">
            <w:pPr>
              <w:pStyle w:val="17"/>
              <w:keepNext w:val="0"/>
              <w:keepLines w:val="0"/>
              <w:widowControl/>
              <w:suppressLineNumbers w:val="0"/>
              <w:rPr>
                <w:b w:val="0"/>
                <w:bCs w:val="0"/>
                <w:sz w:val="20"/>
                <w:szCs w:val="20"/>
              </w:rPr>
            </w:pPr>
            <w:r>
              <w:rPr>
                <w:b w:val="0"/>
                <w:bCs w:val="0"/>
                <w:sz w:val="20"/>
                <w:szCs w:val="20"/>
              </w:rPr>
              <w:t xml:space="preserve">Conținuturile disciplinei </w:t>
            </w:r>
            <w:r>
              <w:rPr>
                <w:rStyle w:val="18"/>
                <w:b w:val="0"/>
                <w:bCs w:val="0"/>
                <w:sz w:val="20"/>
                <w:szCs w:val="20"/>
              </w:rPr>
              <w:t>„Fundamente ale regiei de teatru”</w:t>
            </w:r>
            <w:r>
              <w:rPr>
                <w:b w:val="0"/>
                <w:bCs w:val="0"/>
                <w:sz w:val="20"/>
                <w:szCs w:val="20"/>
              </w:rPr>
              <w:t xml:space="preserve"> sunt aliniate cu structura programelor de formare regizorală din universități internaționale de referință și respectă cerințele </w:t>
            </w:r>
            <w:r>
              <w:rPr>
                <w:rStyle w:val="18"/>
                <w:b w:val="0"/>
                <w:bCs w:val="0"/>
                <w:sz w:val="20"/>
                <w:szCs w:val="20"/>
              </w:rPr>
              <w:t>Cadrului European al Calificărilor (EQF), nivel 6</w:t>
            </w:r>
            <w:r>
              <w:rPr>
                <w:b w:val="0"/>
                <w:bCs w:val="0"/>
                <w:sz w:val="20"/>
                <w:szCs w:val="20"/>
              </w:rPr>
              <w:t>, corespunzător studiilor de licență.</w:t>
            </w:r>
          </w:p>
          <w:p w14:paraId="25C78ADE">
            <w:pPr>
              <w:pStyle w:val="17"/>
              <w:keepNext w:val="0"/>
              <w:keepLines w:val="0"/>
              <w:widowControl/>
              <w:suppressLineNumbers w:val="0"/>
              <w:rPr>
                <w:b w:val="0"/>
                <w:bCs w:val="0"/>
                <w:sz w:val="20"/>
                <w:szCs w:val="20"/>
              </w:rPr>
            </w:pPr>
            <w:r>
              <w:rPr>
                <w:b w:val="0"/>
                <w:bCs w:val="0"/>
                <w:sz w:val="20"/>
                <w:szCs w:val="20"/>
              </w:rPr>
              <w:t xml:space="preserve">Cursuri similare, dedicate dezvoltării abilităților de analiză scenică și a principiilor de construcție regizorală, se regăsesc în oferta unor instituții de prestigiu precum </w:t>
            </w:r>
            <w:r>
              <w:rPr>
                <w:rStyle w:val="18"/>
                <w:b w:val="0"/>
                <w:bCs w:val="0"/>
                <w:sz w:val="20"/>
                <w:szCs w:val="20"/>
              </w:rPr>
              <w:t>Rochester Institute of Technology (RIT, SUA)</w:t>
            </w:r>
            <w:r>
              <w:rPr>
                <w:b w:val="0"/>
                <w:bCs w:val="0"/>
                <w:sz w:val="20"/>
                <w:szCs w:val="20"/>
              </w:rPr>
              <w:t xml:space="preserve">, unde cursul </w:t>
            </w:r>
            <w:r>
              <w:rPr>
                <w:rStyle w:val="13"/>
                <w:b w:val="0"/>
                <w:bCs w:val="0"/>
                <w:sz w:val="20"/>
                <w:szCs w:val="20"/>
              </w:rPr>
              <w:t>Fundamentals of Directing</w:t>
            </w:r>
            <w:r>
              <w:rPr>
                <w:b w:val="0"/>
                <w:bCs w:val="0"/>
                <w:sz w:val="20"/>
                <w:szCs w:val="20"/>
              </w:rPr>
              <w:t xml:space="preserve"> introduce studenții în procesul de interpretare regizorală a textului, în formarea conceptului scenic și în coordonarea colaborării cu actorii și echipele de creație. Astfel de cursuri, prezente în planurile de învățământ din spațiul american și european, confirmă relevanța etapizării procesului regizoral pornind de la exerciții fundamentale și studii de situație scenică.</w:t>
            </w:r>
          </w:p>
          <w:p w14:paraId="0F06DC8F">
            <w:pPr>
              <w:pStyle w:val="17"/>
              <w:keepNext w:val="0"/>
              <w:keepLines w:val="0"/>
              <w:widowControl/>
              <w:suppressLineNumbers w:val="0"/>
              <w:rPr>
                <w:b w:val="0"/>
                <w:bCs w:val="0"/>
                <w:sz w:val="20"/>
                <w:szCs w:val="20"/>
              </w:rPr>
            </w:pPr>
            <w:r>
              <w:rPr>
                <w:b w:val="0"/>
                <w:bCs w:val="0"/>
                <w:sz w:val="20"/>
                <w:szCs w:val="20"/>
              </w:rPr>
              <w:t xml:space="preserve">Structura disciplinei respectă principiul pedagogic al explorării </w:t>
            </w:r>
            <w:r>
              <w:rPr>
                <w:rStyle w:val="18"/>
                <w:b w:val="0"/>
                <w:bCs w:val="0"/>
                <w:sz w:val="20"/>
                <w:szCs w:val="20"/>
              </w:rPr>
              <w:t>extratextuale și nonverbale</w:t>
            </w:r>
            <w:r>
              <w:rPr>
                <w:b w:val="0"/>
                <w:bCs w:val="0"/>
                <w:sz w:val="20"/>
                <w:szCs w:val="20"/>
              </w:rPr>
              <w:t xml:space="preserve"> în primul semestru, etapă regăsită și în școlile europene de teatru, unde accentul inițial se pune pe acțiune, privire, spațiu și ritm scenic, înainte de lucrul pe text. Exercițiile de comunicare nonverbală și construcție de situație, utilizate în acest curs, sunt în linie cu metodologiile pedagogice internaționale care dezvoltă gândirea vizuală a regizorului și capacitatea sa de a genera sens scenic fără suport textual (cf. resurse pedagogice Theatrefolk pentru formarea competențelor nonverbale în teatrul de creație).</w:t>
            </w:r>
          </w:p>
          <w:p w14:paraId="7EC2D301">
            <w:pPr>
              <w:pStyle w:val="17"/>
              <w:keepNext w:val="0"/>
              <w:keepLines w:val="0"/>
              <w:widowControl/>
              <w:suppressLineNumbers w:val="0"/>
              <w:rPr>
                <w:b w:val="0"/>
                <w:bCs w:val="0"/>
                <w:sz w:val="20"/>
                <w:szCs w:val="20"/>
              </w:rPr>
            </w:pPr>
            <w:r>
              <w:rPr>
                <w:b w:val="0"/>
                <w:bCs w:val="0"/>
                <w:sz w:val="20"/>
                <w:szCs w:val="20"/>
              </w:rPr>
              <w:t xml:space="preserve">Conform descrierii oficiale a </w:t>
            </w:r>
            <w:r>
              <w:rPr>
                <w:rStyle w:val="18"/>
                <w:b w:val="0"/>
                <w:bCs w:val="0"/>
                <w:sz w:val="20"/>
                <w:szCs w:val="20"/>
              </w:rPr>
              <w:t>EQF nivel 6</w:t>
            </w:r>
            <w:r>
              <w:rPr>
                <w:b w:val="0"/>
                <w:bCs w:val="0"/>
                <w:sz w:val="20"/>
                <w:szCs w:val="20"/>
              </w:rPr>
              <w:t xml:space="preserve"> (Europass), absolventul acestui ciclu de studii trebuie să dețină „cunoștințe avansate într-un domeniu de studiu” și „abilități avansate, demonstrând măiestrie și inovație în rezolvarea de probleme complexe, cu asumarea responsabilității și a deciziilor profesionale”. Conținuturile disciplinei contribuie direct la atingerea acestor competențe, prin dezvoltarea gândirii critice, a creativității regizorale, a capacității de analiză și a managementului procesului scenic.</w:t>
            </w:r>
          </w:p>
          <w:p w14:paraId="1EE55078">
            <w:pPr>
              <w:pStyle w:val="17"/>
              <w:keepNext w:val="0"/>
              <w:keepLines w:val="0"/>
              <w:widowControl/>
              <w:suppressLineNumbers w:val="0"/>
              <w:rPr>
                <w:b w:val="0"/>
                <w:bCs w:val="0"/>
                <w:sz w:val="20"/>
                <w:szCs w:val="20"/>
              </w:rPr>
            </w:pPr>
            <w:r>
              <w:rPr>
                <w:b w:val="0"/>
                <w:bCs w:val="0"/>
                <w:sz w:val="20"/>
                <w:szCs w:val="20"/>
              </w:rPr>
              <w:t xml:space="preserve">De asemenea, tematica disciplinei a fost calibrată în urma </w:t>
            </w:r>
            <w:r>
              <w:rPr>
                <w:rStyle w:val="18"/>
                <w:b w:val="0"/>
                <w:bCs w:val="0"/>
                <w:sz w:val="20"/>
                <w:szCs w:val="20"/>
              </w:rPr>
              <w:t>consultărilor periodice ale Departamentului de Teatru cu profesioniști activi în domeniu</w:t>
            </w:r>
            <w:r>
              <w:rPr>
                <w:b w:val="0"/>
                <w:bCs w:val="0"/>
                <w:sz w:val="20"/>
                <w:szCs w:val="20"/>
              </w:rPr>
              <w:t xml:space="preserve"> (regizori, scenografi, manageri culturali), pentru a răspunde cerințelor actuale ale pieței muncii, unde regizorul este solicitat să combine gândirea artistică, competențele de coordonare de echipă și adaptabilitatea la forme contemporane de expresie scenică.</w:t>
            </w:r>
          </w:p>
          <w:p w14:paraId="2B940AFD">
            <w:pPr>
              <w:pStyle w:val="35"/>
              <w:numPr>
                <w:ilvl w:val="0"/>
                <w:numId w:val="0"/>
              </w:numPr>
              <w:spacing w:before="120" w:after="0" w:line="240" w:lineRule="auto"/>
              <w:rPr>
                <w:rFonts w:ascii="Cambria" w:hAnsi="Cambria"/>
                <w:sz w:val="20"/>
                <w:szCs w:val="20"/>
              </w:rPr>
            </w:pPr>
          </w:p>
        </w:tc>
      </w:tr>
    </w:tbl>
    <w:p w14:paraId="7B13E652">
      <w:pPr>
        <w:rPr>
          <w:rFonts w:ascii="Cambria" w:hAnsi="Cambria"/>
          <w:sz w:val="20"/>
          <w:szCs w:val="20"/>
        </w:rPr>
      </w:pPr>
    </w:p>
    <w:p w14:paraId="20194EDF">
      <w:pPr>
        <w:spacing w:after="0"/>
        <w:ind w:hanging="425"/>
        <w:rPr>
          <w:rFonts w:ascii="Cambria" w:hAnsi="Cambria"/>
          <w:sz w:val="20"/>
          <w:szCs w:val="20"/>
        </w:rPr>
      </w:pPr>
      <w:r>
        <w:rPr>
          <w:rFonts w:ascii="Cambria" w:hAnsi="Cambria"/>
          <w:b/>
          <w:sz w:val="20"/>
          <w:szCs w:val="20"/>
        </w:rPr>
        <w:t>10. Evaluare</w:t>
      </w:r>
    </w:p>
    <w:tbl>
      <w:tblPr>
        <w:tblStyle w:val="12"/>
        <w:tblW w:w="10492"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9"/>
        <w:gridCol w:w="2550"/>
        <w:gridCol w:w="2409"/>
        <w:gridCol w:w="2694"/>
      </w:tblGrid>
      <w:tr w14:paraId="0662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shd w:val="clear" w:color="auto" w:fill="auto"/>
            <w:vAlign w:val="center"/>
          </w:tcPr>
          <w:p w14:paraId="2C2573E7">
            <w:pPr>
              <w:spacing w:after="0" w:line="240" w:lineRule="auto"/>
              <w:rPr>
                <w:rFonts w:ascii="Cambria" w:hAnsi="Cambria"/>
                <w:sz w:val="20"/>
                <w:szCs w:val="20"/>
              </w:rPr>
            </w:pPr>
            <w:r>
              <w:rPr>
                <w:rFonts w:ascii="Cambria" w:hAnsi="Cambria"/>
                <w:sz w:val="20"/>
                <w:szCs w:val="20"/>
              </w:rPr>
              <w:t>Tip activitate</w:t>
            </w:r>
          </w:p>
        </w:tc>
        <w:tc>
          <w:tcPr>
            <w:tcW w:w="2550" w:type="dxa"/>
            <w:shd w:val="clear" w:color="auto" w:fill="auto"/>
            <w:vAlign w:val="center"/>
          </w:tcPr>
          <w:p w14:paraId="33DC37B7">
            <w:pPr>
              <w:spacing w:after="0" w:line="240" w:lineRule="auto"/>
              <w:ind w:left="46" w:right="-154"/>
              <w:rPr>
                <w:rFonts w:ascii="Cambria" w:hAnsi="Cambria"/>
                <w:sz w:val="20"/>
                <w:szCs w:val="20"/>
              </w:rPr>
            </w:pPr>
            <w:r>
              <w:rPr>
                <w:rFonts w:ascii="Cambria" w:hAnsi="Cambria"/>
                <w:sz w:val="20"/>
                <w:szCs w:val="20"/>
              </w:rPr>
              <w:t>10.1 Criterii de evaluare</w:t>
            </w:r>
          </w:p>
        </w:tc>
        <w:tc>
          <w:tcPr>
            <w:tcW w:w="2409" w:type="dxa"/>
            <w:shd w:val="clear" w:color="auto" w:fill="auto"/>
            <w:vAlign w:val="center"/>
          </w:tcPr>
          <w:p w14:paraId="2252364F">
            <w:pPr>
              <w:spacing w:after="0" w:line="240" w:lineRule="auto"/>
              <w:rPr>
                <w:rFonts w:ascii="Cambria" w:hAnsi="Cambria"/>
                <w:sz w:val="20"/>
                <w:szCs w:val="20"/>
              </w:rPr>
            </w:pPr>
            <w:r>
              <w:rPr>
                <w:rFonts w:ascii="Cambria" w:hAnsi="Cambria"/>
                <w:sz w:val="20"/>
                <w:szCs w:val="20"/>
              </w:rPr>
              <w:t>10.2 Metode de evaluare</w:t>
            </w:r>
          </w:p>
        </w:tc>
        <w:tc>
          <w:tcPr>
            <w:tcW w:w="2694" w:type="dxa"/>
            <w:shd w:val="clear" w:color="auto" w:fill="auto"/>
            <w:vAlign w:val="center"/>
          </w:tcPr>
          <w:p w14:paraId="46FA2B79">
            <w:pPr>
              <w:spacing w:after="0" w:line="240" w:lineRule="auto"/>
              <w:rPr>
                <w:rFonts w:ascii="Cambria" w:hAnsi="Cambria"/>
                <w:sz w:val="20"/>
                <w:szCs w:val="20"/>
              </w:rPr>
            </w:pPr>
            <w:r>
              <w:rPr>
                <w:rFonts w:ascii="Cambria" w:hAnsi="Cambria"/>
                <w:sz w:val="20"/>
                <w:szCs w:val="20"/>
              </w:rPr>
              <w:t>10.3 Pondere din nota finală</w:t>
            </w:r>
          </w:p>
        </w:tc>
      </w:tr>
      <w:tr w14:paraId="3DDA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vMerge w:val="restart"/>
            <w:shd w:val="clear" w:color="auto" w:fill="auto"/>
            <w:vAlign w:val="center"/>
          </w:tcPr>
          <w:p w14:paraId="0E948466">
            <w:pPr>
              <w:spacing w:after="0" w:line="240" w:lineRule="auto"/>
              <w:rPr>
                <w:rFonts w:ascii="Cambria" w:hAnsi="Cambria"/>
                <w:sz w:val="20"/>
                <w:szCs w:val="20"/>
              </w:rPr>
            </w:pPr>
            <w:r>
              <w:rPr>
                <w:rFonts w:ascii="Cambria" w:hAnsi="Cambria"/>
                <w:sz w:val="20"/>
                <w:szCs w:val="20"/>
              </w:rPr>
              <w:t>10.4 Curs</w:t>
            </w:r>
          </w:p>
        </w:tc>
        <w:tc>
          <w:tcPr>
            <w:tcW w:w="2550" w:type="dxa"/>
            <w:shd w:val="clear" w:color="auto" w:fill="auto"/>
            <w:vAlign w:val="center"/>
          </w:tcPr>
          <w:p w14:paraId="4B318A69">
            <w:pPr>
              <w:spacing w:after="0" w:line="240" w:lineRule="auto"/>
              <w:rPr>
                <w:rFonts w:hint="default" w:ascii="Cambria" w:hAnsi="Cambria"/>
                <w:sz w:val="20"/>
                <w:szCs w:val="20"/>
              </w:rPr>
            </w:pPr>
            <w:r>
              <w:rPr>
                <w:rFonts w:hint="default" w:ascii="Cambria" w:hAnsi="Cambria"/>
                <w:sz w:val="20"/>
                <w:szCs w:val="20"/>
              </w:rPr>
              <w:t>1. Gradul de înțelegere și utilizare corectă a conceptelor fundamentale de analiză scenică (acțiune, relație, spațiu, timp, ritm).</w:t>
            </w:r>
          </w:p>
          <w:p w14:paraId="436B89AB">
            <w:pPr>
              <w:spacing w:after="0" w:line="240" w:lineRule="auto"/>
              <w:rPr>
                <w:rFonts w:hint="default" w:ascii="Cambria" w:hAnsi="Cambria"/>
                <w:sz w:val="20"/>
                <w:szCs w:val="20"/>
              </w:rPr>
            </w:pPr>
            <w:r>
              <w:rPr>
                <w:rFonts w:hint="default" w:ascii="Cambria" w:hAnsi="Cambria"/>
                <w:sz w:val="20"/>
                <w:szCs w:val="20"/>
              </w:rPr>
              <w:t>2. Capacitatea de aplicare a noțiunilor teoretice în exemple practice simple.</w:t>
            </w:r>
          </w:p>
          <w:p w14:paraId="72A7F566">
            <w:pPr>
              <w:spacing w:after="0" w:line="240" w:lineRule="auto"/>
              <w:rPr>
                <w:rFonts w:ascii="Cambria" w:hAnsi="Cambria"/>
                <w:sz w:val="20"/>
                <w:szCs w:val="20"/>
              </w:rPr>
            </w:pPr>
            <w:r>
              <w:rPr>
                <w:rFonts w:hint="default" w:ascii="Cambria" w:hAnsi="Cambria"/>
                <w:sz w:val="20"/>
                <w:szCs w:val="20"/>
              </w:rPr>
              <w:t>3. Coerența reflecției teoretice și capacitatea de argumentare în discuțiile de curs.</w:t>
            </w:r>
          </w:p>
        </w:tc>
        <w:tc>
          <w:tcPr>
            <w:tcW w:w="2409" w:type="dxa"/>
            <w:shd w:val="clear" w:color="auto" w:fill="auto"/>
            <w:vAlign w:val="center"/>
          </w:tcPr>
          <w:p w14:paraId="1E5DA5AD">
            <w:pPr>
              <w:spacing w:after="0" w:line="240" w:lineRule="auto"/>
              <w:rPr>
                <w:rFonts w:hint="default" w:ascii="Cambria" w:hAnsi="Cambria"/>
                <w:sz w:val="20"/>
                <w:szCs w:val="20"/>
              </w:rPr>
            </w:pPr>
            <w:r>
              <w:rPr>
                <w:rFonts w:hint="default" w:ascii="Cambria" w:hAnsi="Cambria"/>
                <w:sz w:val="20"/>
                <w:szCs w:val="20"/>
              </w:rPr>
              <w:t>- Evaluare continuă prin discuții aplicate și exerciții scurte de analiză.</w:t>
            </w:r>
          </w:p>
          <w:p w14:paraId="694910DD">
            <w:pPr>
              <w:spacing w:after="0" w:line="240" w:lineRule="auto"/>
              <w:rPr>
                <w:rFonts w:hint="default" w:ascii="Cambria" w:hAnsi="Cambria"/>
                <w:sz w:val="20"/>
                <w:szCs w:val="20"/>
              </w:rPr>
            </w:pPr>
            <w:r>
              <w:rPr>
                <w:rFonts w:hint="default" w:ascii="Cambria" w:hAnsi="Cambria"/>
                <w:sz w:val="20"/>
                <w:szCs w:val="20"/>
              </w:rPr>
              <w:t>- Verificarea fișelor de lucru și a mini-analizelor teoretice.</w:t>
            </w:r>
          </w:p>
          <w:p w14:paraId="307E3AAC">
            <w:pPr>
              <w:spacing w:after="0" w:line="240" w:lineRule="auto"/>
              <w:rPr>
                <w:rFonts w:ascii="Cambria" w:hAnsi="Cambria"/>
                <w:sz w:val="20"/>
                <w:szCs w:val="20"/>
              </w:rPr>
            </w:pPr>
            <w:r>
              <w:rPr>
                <w:rFonts w:hint="default" w:ascii="Cambria" w:hAnsi="Cambria"/>
                <w:sz w:val="20"/>
                <w:szCs w:val="20"/>
              </w:rPr>
              <w:t>- Colocviu final (oral sau scris) bazat pe conceptele predate.</w:t>
            </w:r>
          </w:p>
        </w:tc>
        <w:tc>
          <w:tcPr>
            <w:tcW w:w="2694" w:type="dxa"/>
            <w:shd w:val="clear" w:color="auto" w:fill="auto"/>
            <w:vAlign w:val="center"/>
          </w:tcPr>
          <w:p w14:paraId="759DB29F">
            <w:pPr>
              <w:spacing w:after="0" w:line="240" w:lineRule="auto"/>
              <w:rPr>
                <w:rFonts w:hint="default" w:ascii="Cambria" w:hAnsi="Cambria"/>
                <w:sz w:val="20"/>
                <w:szCs w:val="20"/>
                <w:lang w:val="ro-RO"/>
              </w:rPr>
            </w:pPr>
            <w:r>
              <w:rPr>
                <w:rFonts w:hint="default" w:ascii="Cambria" w:hAnsi="Cambria"/>
                <w:sz w:val="20"/>
                <w:szCs w:val="20"/>
                <w:lang w:val="ro-RO"/>
              </w:rPr>
              <w:t>30%</w:t>
            </w:r>
          </w:p>
        </w:tc>
      </w:tr>
      <w:tr w14:paraId="685D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7653" w:type="dxa"/>
          <w:trHeight w:val="312" w:hRule="atLeast"/>
        </w:trPr>
        <w:tc>
          <w:tcPr>
            <w:tcW w:w="2839" w:type="dxa"/>
            <w:vMerge w:val="continue"/>
            <w:shd w:val="clear" w:color="auto" w:fill="auto"/>
            <w:vAlign w:val="center"/>
          </w:tcPr>
          <w:p w14:paraId="7F537EC0">
            <w:pPr>
              <w:spacing w:after="0" w:line="240" w:lineRule="auto"/>
              <w:rPr>
                <w:rFonts w:ascii="Cambria" w:hAnsi="Cambria"/>
                <w:sz w:val="20"/>
                <w:szCs w:val="20"/>
              </w:rPr>
            </w:pPr>
          </w:p>
        </w:tc>
      </w:tr>
      <w:tr w14:paraId="4000A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vMerge w:val="restart"/>
            <w:shd w:val="clear" w:color="auto" w:fill="auto"/>
            <w:vAlign w:val="center"/>
          </w:tcPr>
          <w:p w14:paraId="620B4533">
            <w:pPr>
              <w:spacing w:after="0" w:line="240" w:lineRule="auto"/>
              <w:ind w:right="-150"/>
              <w:rPr>
                <w:rFonts w:ascii="Cambria" w:hAnsi="Cambria"/>
                <w:sz w:val="20"/>
                <w:szCs w:val="20"/>
              </w:rPr>
            </w:pPr>
            <w:r>
              <w:rPr>
                <w:rFonts w:ascii="Cambria" w:hAnsi="Cambria"/>
                <w:sz w:val="20"/>
                <w:szCs w:val="20"/>
              </w:rPr>
              <w:t>10.5 Seminar/laborator</w:t>
            </w:r>
          </w:p>
        </w:tc>
        <w:tc>
          <w:tcPr>
            <w:tcW w:w="2550" w:type="dxa"/>
            <w:shd w:val="clear" w:color="auto" w:fill="auto"/>
            <w:vAlign w:val="center"/>
          </w:tcPr>
          <w:p w14:paraId="7ECE1BAB">
            <w:pPr>
              <w:spacing w:after="0" w:line="240" w:lineRule="auto"/>
              <w:rPr>
                <w:rFonts w:hint="default" w:ascii="Cambria" w:hAnsi="Cambria"/>
                <w:sz w:val="20"/>
                <w:szCs w:val="20"/>
              </w:rPr>
            </w:pPr>
            <w:r>
              <w:rPr>
                <w:rFonts w:hint="default" w:ascii="Cambria" w:hAnsi="Cambria"/>
                <w:sz w:val="20"/>
                <w:szCs w:val="20"/>
              </w:rPr>
              <w:t>1. Aplicarea coerentă a noțiunilor teoretice în exercițiile extratextuale și de construcție scenică.</w:t>
            </w:r>
          </w:p>
          <w:p w14:paraId="27D3C333">
            <w:pPr>
              <w:spacing w:after="0" w:line="240" w:lineRule="auto"/>
              <w:rPr>
                <w:rFonts w:hint="default" w:ascii="Cambria" w:hAnsi="Cambria"/>
                <w:sz w:val="20"/>
                <w:szCs w:val="20"/>
              </w:rPr>
            </w:pPr>
            <w:r>
              <w:rPr>
                <w:rFonts w:hint="default" w:ascii="Cambria" w:hAnsi="Cambria"/>
                <w:sz w:val="20"/>
                <w:szCs w:val="20"/>
              </w:rPr>
              <w:t>2. Calitatea expresiei regizorale: claritatea situației, logica acțiunii, utilizarea spațiului și a ritmului scenic.</w:t>
            </w:r>
          </w:p>
          <w:p w14:paraId="330C1B0C">
            <w:pPr>
              <w:spacing w:after="0" w:line="240" w:lineRule="auto"/>
              <w:rPr>
                <w:rFonts w:hint="default" w:ascii="Cambria" w:hAnsi="Cambria"/>
                <w:sz w:val="20"/>
                <w:szCs w:val="20"/>
              </w:rPr>
            </w:pPr>
            <w:r>
              <w:rPr>
                <w:rFonts w:hint="default" w:ascii="Cambria" w:hAnsi="Cambria"/>
                <w:sz w:val="20"/>
                <w:szCs w:val="20"/>
              </w:rPr>
              <w:t>3. Creativitatea și consistența propunerilor regizorale individuale.</w:t>
            </w:r>
          </w:p>
          <w:p w14:paraId="656A98BB">
            <w:pPr>
              <w:spacing w:after="0" w:line="240" w:lineRule="auto"/>
              <w:rPr>
                <w:rFonts w:ascii="Cambria" w:hAnsi="Cambria"/>
                <w:sz w:val="20"/>
                <w:szCs w:val="20"/>
              </w:rPr>
            </w:pPr>
            <w:r>
              <w:rPr>
                <w:rFonts w:hint="default" w:ascii="Cambria" w:hAnsi="Cambria"/>
                <w:sz w:val="20"/>
                <w:szCs w:val="20"/>
              </w:rPr>
              <w:t>4. Structura, claritatea și finalizarea „Caietului de regie”.</w:t>
            </w:r>
          </w:p>
        </w:tc>
        <w:tc>
          <w:tcPr>
            <w:tcW w:w="2409" w:type="dxa"/>
            <w:shd w:val="clear" w:color="auto" w:fill="auto"/>
            <w:vAlign w:val="center"/>
          </w:tcPr>
          <w:p w14:paraId="287BAC79">
            <w:pPr>
              <w:spacing w:after="0" w:line="240" w:lineRule="auto"/>
              <w:rPr>
                <w:rFonts w:hint="default" w:ascii="Cambria" w:hAnsi="Cambria"/>
                <w:sz w:val="20"/>
                <w:szCs w:val="20"/>
              </w:rPr>
            </w:pPr>
            <w:r>
              <w:rPr>
                <w:rFonts w:hint="default" w:ascii="Cambria" w:hAnsi="Cambria"/>
                <w:sz w:val="20"/>
                <w:szCs w:val="20"/>
              </w:rPr>
              <w:t>- Observarea directă și feedback formativ în timpul exercițiilor.</w:t>
            </w:r>
          </w:p>
          <w:p w14:paraId="14B63A50">
            <w:pPr>
              <w:spacing w:after="0" w:line="240" w:lineRule="auto"/>
              <w:rPr>
                <w:rFonts w:hint="default" w:ascii="Cambria" w:hAnsi="Cambria"/>
                <w:sz w:val="20"/>
                <w:szCs w:val="20"/>
              </w:rPr>
            </w:pPr>
            <w:r>
              <w:rPr>
                <w:rFonts w:hint="default" w:ascii="Cambria" w:hAnsi="Cambria"/>
                <w:sz w:val="20"/>
                <w:szCs w:val="20"/>
              </w:rPr>
              <w:t>- Evaluare intermediară pe parcursul semestrului (fișe, schițe, analize aplicate).</w:t>
            </w:r>
          </w:p>
          <w:p w14:paraId="45722AA8">
            <w:pPr>
              <w:spacing w:after="0" w:line="240" w:lineRule="auto"/>
              <w:rPr>
                <w:rFonts w:ascii="Cambria" w:hAnsi="Cambria"/>
                <w:sz w:val="20"/>
                <w:szCs w:val="20"/>
              </w:rPr>
            </w:pPr>
            <w:r>
              <w:rPr>
                <w:rFonts w:hint="default" w:ascii="Cambria" w:hAnsi="Cambria"/>
                <w:sz w:val="20"/>
                <w:szCs w:val="20"/>
              </w:rPr>
              <w:t>- Evaluare finală prin prezentarea și susținerea „Caietului de regie” (portofoliu complet).</w:t>
            </w:r>
          </w:p>
        </w:tc>
        <w:tc>
          <w:tcPr>
            <w:tcW w:w="2694" w:type="dxa"/>
            <w:shd w:val="clear" w:color="auto" w:fill="auto"/>
            <w:vAlign w:val="center"/>
          </w:tcPr>
          <w:p w14:paraId="47DB3803">
            <w:pPr>
              <w:spacing w:after="0" w:line="240" w:lineRule="auto"/>
              <w:rPr>
                <w:rFonts w:hint="default" w:ascii="Cambria" w:hAnsi="Cambria"/>
                <w:sz w:val="20"/>
                <w:szCs w:val="20"/>
                <w:lang w:val="ro-RO"/>
              </w:rPr>
            </w:pPr>
            <w:r>
              <w:rPr>
                <w:rFonts w:hint="default" w:ascii="Cambria" w:hAnsi="Cambria"/>
                <w:sz w:val="20"/>
                <w:szCs w:val="20"/>
                <w:lang w:val="ro-RO"/>
              </w:rPr>
              <w:t>70%</w:t>
            </w:r>
          </w:p>
        </w:tc>
      </w:tr>
      <w:tr w14:paraId="2C56D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7653" w:type="dxa"/>
          <w:trHeight w:val="312" w:hRule="atLeast"/>
        </w:trPr>
        <w:tc>
          <w:tcPr>
            <w:tcW w:w="2839" w:type="dxa"/>
            <w:vMerge w:val="continue"/>
            <w:shd w:val="clear" w:color="auto" w:fill="auto"/>
            <w:vAlign w:val="center"/>
          </w:tcPr>
          <w:p w14:paraId="734B5590">
            <w:pPr>
              <w:spacing w:after="0" w:line="240" w:lineRule="auto"/>
              <w:ind w:right="-150"/>
              <w:rPr>
                <w:rFonts w:ascii="Cambria" w:hAnsi="Cambria"/>
                <w:sz w:val="20"/>
                <w:szCs w:val="20"/>
              </w:rPr>
            </w:pPr>
          </w:p>
        </w:tc>
      </w:tr>
      <w:tr w14:paraId="17F47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2" w:type="dxa"/>
            <w:gridSpan w:val="4"/>
            <w:shd w:val="clear" w:color="auto" w:fill="auto"/>
            <w:vAlign w:val="center"/>
          </w:tcPr>
          <w:p w14:paraId="1B6F4D48">
            <w:pPr>
              <w:spacing w:after="0" w:line="240" w:lineRule="auto"/>
              <w:rPr>
                <w:rFonts w:ascii="Cambria" w:hAnsi="Cambria"/>
                <w:sz w:val="20"/>
                <w:szCs w:val="20"/>
              </w:rPr>
            </w:pPr>
            <w:r>
              <w:rPr>
                <w:rFonts w:ascii="Cambria" w:hAnsi="Cambria"/>
                <w:sz w:val="20"/>
                <w:szCs w:val="20"/>
              </w:rPr>
              <w:t>10.6 Standard minim de performanță</w:t>
            </w:r>
          </w:p>
        </w:tc>
      </w:tr>
      <w:tr w14:paraId="6CA55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2" w:type="dxa"/>
            <w:gridSpan w:val="4"/>
            <w:shd w:val="clear" w:color="auto" w:fill="auto"/>
          </w:tcPr>
          <w:p w14:paraId="246AFFA7">
            <w:pPr>
              <w:pStyle w:val="17"/>
              <w:keepNext w:val="0"/>
              <w:keepLines w:val="0"/>
              <w:widowControl/>
              <w:suppressLineNumbers w:val="0"/>
              <w:rPr>
                <w:sz w:val="20"/>
                <w:szCs w:val="20"/>
              </w:rPr>
            </w:pPr>
            <w:r>
              <w:rPr>
                <w:sz w:val="20"/>
                <w:szCs w:val="20"/>
              </w:rPr>
              <w:t>Pentru promovarea disciplinei, studentul trebuie să demonstreze:</w:t>
            </w:r>
          </w:p>
          <w:p w14:paraId="5EA3226A">
            <w:pPr>
              <w:pStyle w:val="17"/>
              <w:keepNext w:val="0"/>
              <w:keepLines w:val="0"/>
              <w:widowControl/>
              <w:numPr>
                <w:ilvl w:val="0"/>
                <w:numId w:val="6"/>
              </w:numPr>
              <w:suppressLineNumbers w:val="0"/>
              <w:ind w:left="720"/>
              <w:rPr>
                <w:sz w:val="20"/>
                <w:szCs w:val="20"/>
              </w:rPr>
            </w:pPr>
            <w:r>
              <w:rPr>
                <w:rFonts w:hint="default"/>
                <w:sz w:val="20"/>
                <w:szCs w:val="20"/>
                <w:lang w:val="ro-RO"/>
              </w:rPr>
              <w:t>Î</w:t>
            </w:r>
            <w:r>
              <w:rPr>
                <w:sz w:val="20"/>
                <w:szCs w:val="20"/>
              </w:rPr>
              <w:t>nțelegerea clară a conceptelor fundamentale de regie teatrală (acțiune, spațiu, relație, ritm, intenție);</w:t>
            </w:r>
          </w:p>
          <w:p w14:paraId="08CFCF17">
            <w:pPr>
              <w:pStyle w:val="17"/>
              <w:keepNext w:val="0"/>
              <w:keepLines w:val="0"/>
              <w:widowControl/>
              <w:numPr>
                <w:ilvl w:val="0"/>
                <w:numId w:val="6"/>
              </w:numPr>
              <w:suppressLineNumbers w:val="0"/>
              <w:ind w:left="720" w:leftChars="0" w:firstLine="0" w:firstLineChars="0"/>
              <w:rPr>
                <w:sz w:val="20"/>
                <w:szCs w:val="20"/>
              </w:rPr>
            </w:pPr>
            <w:r>
              <w:rPr>
                <w:rFonts w:hint="default"/>
                <w:sz w:val="20"/>
                <w:szCs w:val="20"/>
                <w:lang w:val="ro-RO"/>
              </w:rPr>
              <w:t>C</w:t>
            </w:r>
            <w:r>
              <w:rPr>
                <w:sz w:val="20"/>
                <w:szCs w:val="20"/>
              </w:rPr>
              <w:t>apacitatea de a construi și analiza o situație scenică simplă, coerentă vizual și motivațional;</w:t>
            </w:r>
          </w:p>
          <w:p w14:paraId="36F40E25">
            <w:pPr>
              <w:pStyle w:val="17"/>
              <w:keepNext w:val="0"/>
              <w:keepLines w:val="0"/>
              <w:widowControl/>
              <w:numPr>
                <w:ilvl w:val="0"/>
                <w:numId w:val="6"/>
              </w:numPr>
              <w:suppressLineNumbers w:val="0"/>
              <w:ind w:left="720" w:leftChars="0" w:firstLine="0" w:firstLineChars="0"/>
              <w:rPr>
                <w:sz w:val="20"/>
                <w:szCs w:val="20"/>
              </w:rPr>
            </w:pPr>
            <w:r>
              <w:rPr>
                <w:rFonts w:hint="default"/>
                <w:sz w:val="20"/>
                <w:szCs w:val="20"/>
                <w:lang w:val="ro-RO"/>
              </w:rPr>
              <w:t>F</w:t>
            </w:r>
            <w:r>
              <w:rPr>
                <w:sz w:val="20"/>
                <w:szCs w:val="20"/>
              </w:rPr>
              <w:t xml:space="preserve">inalizarea și predarea completă a </w:t>
            </w:r>
            <w:r>
              <w:rPr>
                <w:rStyle w:val="13"/>
                <w:sz w:val="20"/>
                <w:szCs w:val="20"/>
              </w:rPr>
              <w:t>Caietului de regie</w:t>
            </w:r>
            <w:r>
              <w:rPr>
                <w:sz w:val="20"/>
                <w:szCs w:val="20"/>
              </w:rPr>
              <w:t>, care să includă exercițiile, fișele de observație, reflecțiile și planul de lucru.</w:t>
            </w:r>
          </w:p>
          <w:p w14:paraId="19C84765">
            <w:pPr>
              <w:numPr>
                <w:ilvl w:val="0"/>
                <w:numId w:val="0"/>
              </w:numPr>
              <w:spacing w:before="120" w:after="0" w:line="240" w:lineRule="auto"/>
              <w:rPr>
                <w:rFonts w:ascii="Cambria" w:hAnsi="Cambria"/>
                <w:sz w:val="20"/>
                <w:szCs w:val="20"/>
              </w:rPr>
            </w:pPr>
          </w:p>
          <w:p w14:paraId="3367B147">
            <w:pPr>
              <w:spacing w:after="0" w:line="240" w:lineRule="auto"/>
              <w:rPr>
                <w:rFonts w:ascii="Cambria" w:hAnsi="Cambria"/>
                <w:sz w:val="20"/>
                <w:szCs w:val="20"/>
              </w:rPr>
            </w:pPr>
          </w:p>
          <w:p w14:paraId="2C08C47D">
            <w:pPr>
              <w:spacing w:after="0" w:line="240" w:lineRule="auto"/>
              <w:rPr>
                <w:rFonts w:ascii="Cambria" w:hAnsi="Cambria"/>
                <w:sz w:val="20"/>
                <w:szCs w:val="20"/>
              </w:rPr>
            </w:pPr>
          </w:p>
          <w:p w14:paraId="6766C520">
            <w:pPr>
              <w:spacing w:after="0" w:line="240" w:lineRule="auto"/>
              <w:rPr>
                <w:rFonts w:ascii="Cambria" w:hAnsi="Cambria"/>
                <w:sz w:val="20"/>
                <w:szCs w:val="20"/>
              </w:rPr>
            </w:pPr>
          </w:p>
        </w:tc>
      </w:tr>
    </w:tbl>
    <w:p w14:paraId="67C01178">
      <w:pPr>
        <w:rPr>
          <w:rFonts w:ascii="Cambria" w:hAnsi="Cambria"/>
          <w:sz w:val="20"/>
          <w:szCs w:val="20"/>
        </w:rPr>
      </w:pPr>
    </w:p>
    <w:p w14:paraId="743AF553">
      <w:pPr>
        <w:rPr>
          <w:rFonts w:ascii="Cambria" w:hAnsi="Cambria"/>
          <w:sz w:val="20"/>
          <w:szCs w:val="20"/>
        </w:rPr>
      </w:pPr>
    </w:p>
    <w:p w14:paraId="0D47838B">
      <w:pPr>
        <w:spacing w:after="0"/>
        <w:ind w:hanging="425"/>
        <w:rPr>
          <w:rFonts w:ascii="Cambria" w:hAnsi="Cambria"/>
          <w:sz w:val="20"/>
          <w:szCs w:val="20"/>
        </w:rPr>
      </w:pPr>
      <w:r>
        <w:rPr>
          <w:rFonts w:ascii="Cambria" w:hAnsi="Cambria"/>
          <w:b/>
          <w:sz w:val="20"/>
          <w:szCs w:val="20"/>
        </w:rPr>
        <w:t>11. Etichete ODD (Obiective de Dezvoltare Durabilă / Sustainable Development Goals)</w:t>
      </w:r>
      <w:r>
        <w:rPr>
          <w:rStyle w:val="14"/>
          <w:rFonts w:ascii="Cambria" w:hAnsi="Cambria"/>
          <w:b/>
          <w:sz w:val="20"/>
          <w:szCs w:val="20"/>
        </w:rPr>
        <w:footnoteReference w:id="0"/>
      </w:r>
    </w:p>
    <w:tbl>
      <w:tblPr>
        <w:tblStyle w:val="20"/>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6"/>
        <w:gridCol w:w="1166"/>
        <w:gridCol w:w="1165"/>
        <w:gridCol w:w="1166"/>
        <w:gridCol w:w="1166"/>
        <w:gridCol w:w="1165"/>
        <w:gridCol w:w="1166"/>
        <w:gridCol w:w="1166"/>
      </w:tblGrid>
      <w:tr w14:paraId="11B3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trPr>
        <w:tc>
          <w:tcPr>
            <w:tcW w:w="1165" w:type="dxa"/>
            <w:vAlign w:val="center"/>
          </w:tcPr>
          <w:p w14:paraId="029BE597">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anchor distT="0" distB="0" distL="114300" distR="114300" simplePos="0" relativeHeight="251659264" behindDoc="0" locked="0" layoutInCell="1" allowOverlap="1">
                  <wp:simplePos x="0" y="0"/>
                  <wp:positionH relativeFrom="column">
                    <wp:posOffset>13970</wp:posOffset>
                  </wp:positionH>
                  <wp:positionV relativeFrom="paragraph">
                    <wp:posOffset>34925</wp:posOffset>
                  </wp:positionV>
                  <wp:extent cx="615950" cy="611505"/>
                  <wp:effectExtent l="0" t="0" r="0" b="0"/>
                  <wp:wrapNone/>
                  <wp:docPr id="3"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5950" cy="611505"/>
                          </a:xfrm>
                          <a:prstGeom prst="rect">
                            <a:avLst/>
                          </a:prstGeom>
                          <a:noFill/>
                        </pic:spPr>
                      </pic:pic>
                    </a:graphicData>
                  </a:graphic>
                </wp:anchor>
              </w:drawing>
            </w:r>
          </w:p>
        </w:tc>
        <w:tc>
          <w:tcPr>
            <w:tcW w:w="9326" w:type="dxa"/>
            <w:gridSpan w:val="8"/>
            <w:vAlign w:val="center"/>
          </w:tcPr>
          <w:p w14:paraId="5741C871">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Eticheta generală pentru Dezvoltare durabilă</w:t>
            </w:r>
          </w:p>
        </w:tc>
      </w:tr>
      <w:tr w14:paraId="3DEF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165" w:type="dxa"/>
            <w:vAlign w:val="center"/>
          </w:tcPr>
          <w:p w14:paraId="2DC7B7F0">
            <w:pPr>
              <w:spacing w:after="0" w:line="240" w:lineRule="auto"/>
              <w:ind w:right="-537"/>
              <w:rPr>
                <w:rFonts w:ascii="Cambria" w:hAnsi="Cambria" w:eastAsia="Calibri" w:cs="Times New Roman"/>
                <w:kern w:val="0"/>
                <w:sz w:val="20"/>
                <w:szCs w:val="20"/>
                <w:lang w:eastAsia="ro-RO"/>
                <w14:ligatures w14:val="none"/>
              </w:rPr>
            </w:pPr>
          </w:p>
        </w:tc>
        <w:tc>
          <w:tcPr>
            <w:tcW w:w="1166" w:type="dxa"/>
            <w:vAlign w:val="center"/>
          </w:tcPr>
          <w:p w14:paraId="61E84881">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2732604C">
            <w:pPr>
              <w:spacing w:after="0" w:line="240" w:lineRule="auto"/>
              <w:rPr>
                <w:rFonts w:ascii="Cambria" w:hAnsi="Cambria" w:eastAsia="Calibri" w:cs="Times New Roman"/>
                <w:kern w:val="0"/>
                <w:sz w:val="20"/>
                <w:szCs w:val="20"/>
                <w:lang w:eastAsia="ro-RO"/>
                <w14:ligatures w14:val="none"/>
              </w:rPr>
            </w:pPr>
          </w:p>
        </w:tc>
        <w:tc>
          <w:tcPr>
            <w:tcW w:w="1165" w:type="dxa"/>
            <w:vAlign w:val="center"/>
          </w:tcPr>
          <w:p w14:paraId="52A4F882">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600710" cy="611505"/>
                  <wp:effectExtent l="0" t="0" r="8890" b="0"/>
                  <wp:docPr id="15" name="Imagine 14" descr="O imagine care conține text, siglă, roșu,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3725" cy="611505"/>
                  <wp:effectExtent l="0" t="0" r="0" b="0"/>
                  <wp:docPr id="16" name="Imagine 15" descr="O imagine care conține text, captură de ecran, Font,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pPr>
              <w:spacing w:after="0" w:line="240" w:lineRule="auto"/>
              <w:rPr>
                <w:rFonts w:ascii="Cambria" w:hAnsi="Cambria" w:eastAsia="Calibri" w:cs="Times New Roman"/>
                <w:kern w:val="0"/>
                <w:sz w:val="20"/>
                <w:szCs w:val="20"/>
                <w:lang w:eastAsia="ro-RO"/>
                <w14:ligatures w14:val="none"/>
              </w:rPr>
            </w:pPr>
          </w:p>
        </w:tc>
        <w:tc>
          <w:tcPr>
            <w:tcW w:w="1165" w:type="dxa"/>
            <w:vAlign w:val="center"/>
          </w:tcPr>
          <w:p w14:paraId="423B32E2">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741BDDBE">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6C16B376">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625475" cy="611505"/>
                  <wp:effectExtent l="0" t="0" r="3175" b="0"/>
                  <wp:docPr id="11" name="Imagine 10" descr="O imagine care conține proiectare, captură de ecran, tex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14:paraId="0721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165" w:type="dxa"/>
            <w:vAlign w:val="center"/>
          </w:tcPr>
          <w:p w14:paraId="303421C5">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9440" cy="611505"/>
                  <wp:effectExtent l="0" t="0" r="0" b="0"/>
                  <wp:docPr id="12" name="Imagine 11" descr="O imagine care conține text, captură de ecran,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366784A8">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4995" cy="611505"/>
                  <wp:effectExtent l="0" t="0" r="0" b="0"/>
                  <wp:docPr id="7" name="Imagine 6" descr="O imagine care conține Font, text, captură de ecran,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38729EAA">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203DB388">
            <w:pPr>
              <w:spacing w:after="0" w:line="240" w:lineRule="auto"/>
              <w:rPr>
                <w:rFonts w:ascii="Cambria" w:hAnsi="Cambria" w:eastAsia="Calibri" w:cs="Times New Roman"/>
                <w:kern w:val="0"/>
                <w:sz w:val="20"/>
                <w:szCs w:val="20"/>
                <w:lang w:eastAsia="ro-RO"/>
                <w14:ligatures w14:val="none"/>
              </w:rPr>
            </w:pPr>
          </w:p>
        </w:tc>
        <w:tc>
          <w:tcPr>
            <w:tcW w:w="1165" w:type="dxa"/>
            <w:vAlign w:val="center"/>
          </w:tcPr>
          <w:p w14:paraId="7A1D1EBA">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613410" cy="611505"/>
                  <wp:effectExtent l="0" t="0" r="0" b="0"/>
                  <wp:docPr id="33" name="Imagine 32" descr="O imagine care conține pasăre, tex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6900" cy="611505"/>
                  <wp:effectExtent l="0" t="0" r="0" b="0"/>
                  <wp:docPr id="35" name="Imagine 34" descr="O imagine care conține text, captură de ecran,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pPr>
              <w:spacing w:after="0" w:line="240" w:lineRule="auto"/>
              <w:rPr>
                <w:rFonts w:ascii="Cambria" w:hAnsi="Cambria" w:eastAsia="Calibri" w:cs="Times New Roman"/>
                <w:kern w:val="0"/>
                <w:sz w:val="20"/>
                <w:szCs w:val="20"/>
                <w:lang w:eastAsia="ro-RO"/>
                <w14:ligatures w14:val="none"/>
              </w:rPr>
            </w:pPr>
          </w:p>
        </w:tc>
      </w:tr>
    </w:tbl>
    <w:p w14:paraId="74CA3B07">
      <w:pPr>
        <w:rPr>
          <w:rFonts w:ascii="Cambria" w:hAnsi="Cambria"/>
          <w:sz w:val="20"/>
          <w:szCs w:val="20"/>
        </w:rPr>
      </w:pPr>
    </w:p>
    <w:p w14:paraId="130C6DD3">
      <w:pPr>
        <w:rPr>
          <w:rFonts w:ascii="Cambria" w:hAnsi="Cambria"/>
          <w:sz w:val="20"/>
          <w:szCs w:val="20"/>
        </w:rPr>
      </w:pPr>
    </w:p>
    <w:p w14:paraId="0DA9B19F">
      <w:pPr>
        <w:rPr>
          <w:rFonts w:ascii="Cambria" w:hAnsi="Cambria"/>
          <w:sz w:val="20"/>
          <w:szCs w:val="20"/>
        </w:rPr>
      </w:pPr>
    </w:p>
    <w:tbl>
      <w:tblPr>
        <w:tblStyle w:val="20"/>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53"/>
        <w:gridCol w:w="2835"/>
        <w:gridCol w:w="1134"/>
        <w:gridCol w:w="3969"/>
      </w:tblGrid>
      <w:tr w14:paraId="2195F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2553" w:type="dxa"/>
          </w:tcPr>
          <w:p w14:paraId="7D7E40B9">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Data completării:</w:t>
            </w:r>
          </w:p>
          <w:p w14:paraId="6F85EC4B">
            <w:pPr>
              <w:spacing w:after="0" w:line="240" w:lineRule="auto"/>
              <w:rPr>
                <w:rFonts w:hint="default" w:ascii="Cambria" w:hAnsi="Cambria" w:eastAsia="Calibri" w:cs="Times New Roman"/>
                <w:kern w:val="0"/>
                <w:sz w:val="20"/>
                <w:szCs w:val="20"/>
                <w:lang w:val="en-US" w:eastAsia="ro-RO"/>
                <w14:ligatures w14:val="none"/>
              </w:rPr>
            </w:pPr>
            <w:r>
              <w:rPr>
                <w:rFonts w:hint="default" w:ascii="Cambria" w:hAnsi="Cambria" w:eastAsia="Calibri" w:cs="Times New Roman"/>
                <w:kern w:val="0"/>
                <w:sz w:val="20"/>
                <w:szCs w:val="20"/>
                <w:lang w:val="en-US" w:eastAsia="ro-RO"/>
                <w14:ligatures w14:val="none"/>
              </w:rPr>
              <w:t>05.11.2025</w:t>
            </w:r>
          </w:p>
        </w:tc>
        <w:tc>
          <w:tcPr>
            <w:tcW w:w="3969" w:type="dxa"/>
            <w:gridSpan w:val="2"/>
            <w:vAlign w:val="center"/>
          </w:tcPr>
          <w:p w14:paraId="7FC6F972">
            <w:pPr>
              <w:spacing w:after="0" w:line="480" w:lineRule="auto"/>
              <w:jc w:val="center"/>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Semnătura titularului de curs</w:t>
            </w:r>
          </w:p>
          <w:p w14:paraId="0F5C8287">
            <w:pPr>
              <w:spacing w:after="0" w:line="480" w:lineRule="auto"/>
              <w:jc w:val="center"/>
              <w:rPr>
                <w:rFonts w:ascii="Cambria" w:hAnsi="Cambria" w:eastAsia="Calibri" w:cs="Times New Roman"/>
                <w:kern w:val="0"/>
                <w:sz w:val="20"/>
                <w:szCs w:val="20"/>
                <w:lang w:eastAsia="ro-RO"/>
                <w14:ligatures w14:val="none"/>
              </w:rPr>
            </w:pPr>
            <w:r>
              <w:drawing>
                <wp:inline distT="0" distB="0" distL="114300" distR="114300">
                  <wp:extent cx="1292225" cy="1021080"/>
                  <wp:effectExtent l="0" t="0" r="317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1292225" cy="1021080"/>
                          </a:xfrm>
                          <a:prstGeom prst="rect">
                            <a:avLst/>
                          </a:prstGeom>
                          <a:noFill/>
                          <a:ln>
                            <a:noFill/>
                          </a:ln>
                        </pic:spPr>
                      </pic:pic>
                    </a:graphicData>
                  </a:graphic>
                </wp:inline>
              </w:drawing>
            </w:r>
          </w:p>
        </w:tc>
        <w:tc>
          <w:tcPr>
            <w:tcW w:w="3969" w:type="dxa"/>
            <w:vAlign w:val="center"/>
          </w:tcPr>
          <w:p w14:paraId="6B082F1C">
            <w:pPr>
              <w:spacing w:after="0" w:line="480" w:lineRule="auto"/>
              <w:jc w:val="center"/>
              <w:rPr>
                <w:rFonts w:ascii="Cambria" w:hAnsi="Cambria" w:eastAsia="Calibri" w:cs="Times New Roman"/>
                <w:kern w:val="0"/>
                <w:sz w:val="20"/>
                <w:szCs w:val="20"/>
                <w:lang w:eastAsia="ro-RO"/>
                <w14:ligatures w14:val="none"/>
              </w:rPr>
            </w:pPr>
            <w:r>
              <w:drawing>
                <wp:anchor distT="0" distB="0" distL="0" distR="0" simplePos="0" relativeHeight="251660288" behindDoc="1" locked="0" layoutInCell="1" allowOverlap="1">
                  <wp:simplePos x="0" y="0"/>
                  <wp:positionH relativeFrom="page">
                    <wp:posOffset>791210</wp:posOffset>
                  </wp:positionH>
                  <wp:positionV relativeFrom="paragraph">
                    <wp:posOffset>194945</wp:posOffset>
                  </wp:positionV>
                  <wp:extent cx="1044575" cy="632460"/>
                  <wp:effectExtent l="0" t="0" r="6985" b="762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15" cstate="print"/>
                          <a:stretch>
                            <a:fillRect/>
                          </a:stretch>
                        </pic:blipFill>
                        <pic:spPr>
                          <a:xfrm>
                            <a:off x="0" y="0"/>
                            <a:ext cx="1044575" cy="632460"/>
                          </a:xfrm>
                          <a:prstGeom prst="rect">
                            <a:avLst/>
                          </a:prstGeom>
                        </pic:spPr>
                      </pic:pic>
                    </a:graphicData>
                  </a:graphic>
                </wp:anchor>
              </w:drawing>
            </w:r>
            <w:r>
              <w:rPr>
                <w:rFonts w:ascii="Cambria" w:hAnsi="Cambria" w:eastAsia="Calibri" w:cs="Times New Roman"/>
                <w:kern w:val="0"/>
                <w:sz w:val="20"/>
                <w:szCs w:val="20"/>
                <w:lang w:eastAsia="ro-RO"/>
                <w14:ligatures w14:val="none"/>
              </w:rPr>
              <w:t>Semnătura titularului de seminar</w:t>
            </w:r>
          </w:p>
          <w:p w14:paraId="34043C9C">
            <w:pPr>
              <w:spacing w:after="0" w:line="480" w:lineRule="auto"/>
              <w:jc w:val="center"/>
              <w:rPr>
                <w:rFonts w:ascii="Cambria" w:hAnsi="Cambria" w:eastAsia="Calibri" w:cs="Times New Roman"/>
                <w:kern w:val="0"/>
                <w:sz w:val="20"/>
                <w:szCs w:val="20"/>
                <w:lang w:eastAsia="ro-RO"/>
                <w14:ligatures w14:val="none"/>
              </w:rPr>
            </w:pPr>
          </w:p>
        </w:tc>
      </w:tr>
      <w:tr w14:paraId="2607C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2553" w:type="dxa"/>
            <w:vAlign w:val="center"/>
          </w:tcPr>
          <w:p w14:paraId="10DE3FC9">
            <w:pPr>
              <w:spacing w:after="0" w:line="480" w:lineRule="auto"/>
              <w:rPr>
                <w:rFonts w:ascii="Cambria" w:hAnsi="Cambria" w:eastAsia="Calibri" w:cs="Times New Roman"/>
                <w:kern w:val="0"/>
                <w:sz w:val="20"/>
                <w:szCs w:val="20"/>
                <w:lang w:eastAsia="ro-RO"/>
                <w14:ligatures w14:val="none"/>
              </w:rPr>
            </w:pPr>
          </w:p>
        </w:tc>
        <w:tc>
          <w:tcPr>
            <w:tcW w:w="3969" w:type="dxa"/>
            <w:gridSpan w:val="2"/>
            <w:vAlign w:val="center"/>
          </w:tcPr>
          <w:p w14:paraId="3941C289">
            <w:pPr>
              <w:spacing w:after="0" w:line="480" w:lineRule="auto"/>
              <w:rPr>
                <w:rFonts w:ascii="Cambria" w:hAnsi="Cambria" w:eastAsia="Calibri" w:cs="Times New Roman"/>
                <w:kern w:val="0"/>
                <w:sz w:val="20"/>
                <w:szCs w:val="20"/>
                <w:lang w:eastAsia="ro-RO"/>
                <w14:ligatures w14:val="none"/>
              </w:rPr>
            </w:pPr>
          </w:p>
        </w:tc>
        <w:tc>
          <w:tcPr>
            <w:tcW w:w="3969" w:type="dxa"/>
            <w:vAlign w:val="center"/>
          </w:tcPr>
          <w:p w14:paraId="2AD0C44F">
            <w:pPr>
              <w:spacing w:after="0" w:line="480" w:lineRule="auto"/>
              <w:rPr>
                <w:rFonts w:ascii="Cambria" w:hAnsi="Cambria" w:eastAsia="Calibri" w:cs="Times New Roman"/>
                <w:kern w:val="0"/>
                <w:sz w:val="20"/>
                <w:szCs w:val="20"/>
                <w:lang w:eastAsia="ro-RO"/>
                <w14:ligatures w14:val="none"/>
              </w:rPr>
            </w:pPr>
          </w:p>
        </w:tc>
      </w:tr>
      <w:tr w14:paraId="5931D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5388" w:type="dxa"/>
            <w:gridSpan w:val="2"/>
          </w:tcPr>
          <w:p w14:paraId="13CC825D">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Data avizării în departament:</w:t>
            </w:r>
          </w:p>
          <w:p w14:paraId="27B1F697">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w:t>
            </w:r>
          </w:p>
          <w:p w14:paraId="714DB94C">
            <w:pPr>
              <w:spacing w:after="0" w:line="480" w:lineRule="auto"/>
              <w:rPr>
                <w:rFonts w:ascii="Cambria" w:hAnsi="Cambria" w:eastAsia="Calibri" w:cs="Times New Roman"/>
                <w:kern w:val="0"/>
                <w:sz w:val="20"/>
                <w:szCs w:val="20"/>
                <w:lang w:eastAsia="ro-RO"/>
                <w14:ligatures w14:val="none"/>
              </w:rPr>
            </w:pPr>
          </w:p>
          <w:p w14:paraId="4DCA8C86">
            <w:pPr>
              <w:spacing w:after="0" w:line="480" w:lineRule="auto"/>
              <w:rPr>
                <w:rFonts w:ascii="Cambria" w:hAnsi="Cambria" w:eastAsia="Calibri" w:cs="Times New Roman"/>
                <w:kern w:val="0"/>
                <w:sz w:val="20"/>
                <w:szCs w:val="20"/>
                <w:lang w:eastAsia="ro-RO"/>
                <w14:ligatures w14:val="none"/>
              </w:rPr>
            </w:pPr>
          </w:p>
        </w:tc>
        <w:tc>
          <w:tcPr>
            <w:tcW w:w="5103" w:type="dxa"/>
            <w:gridSpan w:val="2"/>
            <w:vAlign w:val="center"/>
          </w:tcPr>
          <w:p w14:paraId="6E7DCA84">
            <w:pPr>
              <w:spacing w:after="0" w:line="480" w:lineRule="auto"/>
              <w:jc w:val="center"/>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Semnătura directorului de departament</w:t>
            </w:r>
          </w:p>
          <w:p w14:paraId="6ACF21FC">
            <w:pPr>
              <w:spacing w:after="0" w:line="480" w:lineRule="auto"/>
              <w:jc w:val="center"/>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w:t>
            </w:r>
          </w:p>
          <w:p w14:paraId="2757C074">
            <w:pPr>
              <w:spacing w:after="0" w:line="480" w:lineRule="auto"/>
              <w:jc w:val="center"/>
              <w:rPr>
                <w:rFonts w:ascii="Cambria" w:hAnsi="Cambria" w:eastAsia="Calibri" w:cs="Times New Roman"/>
                <w:kern w:val="0"/>
                <w:sz w:val="20"/>
                <w:szCs w:val="20"/>
                <w:lang w:eastAsia="ro-RO"/>
                <w14:ligatures w14:val="none"/>
              </w:rPr>
            </w:pPr>
          </w:p>
          <w:p w14:paraId="6C7ED803">
            <w:pPr>
              <w:spacing w:after="0" w:line="480" w:lineRule="auto"/>
              <w:jc w:val="center"/>
              <w:rPr>
                <w:rFonts w:ascii="Cambria" w:hAnsi="Cambria" w:eastAsia="Calibri" w:cs="Times New Roman"/>
                <w:kern w:val="0"/>
                <w:sz w:val="20"/>
                <w:szCs w:val="20"/>
                <w:lang w:eastAsia="ro-RO"/>
                <w14:ligatures w14:val="none"/>
              </w:rPr>
            </w:pPr>
          </w:p>
        </w:tc>
      </w:tr>
    </w:tbl>
    <w:p w14:paraId="7C12396E">
      <w:pPr>
        <w:rPr>
          <w:rFonts w:ascii="Cambria" w:hAnsi="Cambria"/>
          <w:sz w:val="20"/>
          <w:szCs w:val="20"/>
        </w:rPr>
      </w:pPr>
    </w:p>
    <w:sectPr>
      <w:pgSz w:w="11907" w:h="16840"/>
      <w:pgMar w:top="1134" w:right="1134" w:bottom="1134"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Apto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78" w:lineRule="auto"/>
      </w:pPr>
      <w:r>
        <w:separator/>
      </w:r>
    </w:p>
  </w:footnote>
  <w:footnote w:type="continuationSeparator" w:id="3">
    <w:p>
      <w:pPr>
        <w:spacing w:before="0" w:after="0" w:line="278" w:lineRule="auto"/>
      </w:pPr>
      <w:r>
        <w:continuationSeparator/>
      </w:r>
    </w:p>
  </w:footnote>
  <w:footnote w:id="0">
    <w:p w14:paraId="3806BD12">
      <w:pPr>
        <w:pStyle w:val="15"/>
        <w:jc w:val="both"/>
        <w:rPr>
          <w:rFonts w:ascii="Cambria" w:hAnsi="Cambria"/>
        </w:rPr>
      </w:pPr>
      <w:r>
        <w:rPr>
          <w:rStyle w:val="14"/>
          <w:rFonts w:ascii="Cambria" w:hAnsi="Cambria"/>
        </w:rPr>
        <w:footnoteRef/>
      </w:r>
      <w:r>
        <w:rPr>
          <w:rFonts w:ascii="Cambria" w:hAnsi="Cambria"/>
        </w:rPr>
        <w:t xml:space="preserve"> Păstrați doar etichetele care, în conformitate cu </w:t>
      </w:r>
      <w:r>
        <w:fldChar w:fldCharType="begin"/>
      </w:r>
      <w:r>
        <w:instrText xml:space="preserve"> HYPERLINK "https://green.ubbcluj.ro/procedura-de-aplicare-a-etichetelor-odd/" </w:instrText>
      </w:r>
      <w:r>
        <w:fldChar w:fldCharType="separate"/>
      </w:r>
      <w:r>
        <w:rPr>
          <w:rStyle w:val="16"/>
          <w:rFonts w:ascii="Cambria" w:hAnsi="Cambria"/>
          <w:i/>
          <w:iCs/>
        </w:rPr>
        <w:t>Procedura de aplicare a etichetelor ODD în procesul academic</w:t>
      </w:r>
      <w:r>
        <w:rPr>
          <w:rStyle w:val="16"/>
          <w:rFonts w:ascii="Cambria" w:hAnsi="Cambria"/>
          <w:i/>
          <w:iCs/>
        </w:rPr>
        <w:fldChar w:fldCharType="end"/>
      </w:r>
      <w:r>
        <w:rPr>
          <w:rFonts w:ascii="Cambria" w:hAnsi="Cambria"/>
        </w:rPr>
        <w:t xml:space="preserve">, se potrivesc disciplinei și ștergeți-le pe celelalte, inclusiv eticheta generală pentru </w:t>
      </w:r>
      <w:r>
        <w:rPr>
          <w:rFonts w:ascii="Cambria" w:hAnsi="Cambria"/>
          <w:i/>
          <w:iCs/>
        </w:rPr>
        <w:t>Dezvoltare durabilă</w:t>
      </w:r>
      <w:r>
        <w:rPr>
          <w:rFonts w:ascii="Cambria" w:hAnsi="Cambria"/>
        </w:rPr>
        <w:t xml:space="preserve"> - dacă nu se aplică. Dacă nicio etichetă nu descrie disciplina, ștergeți-le pe toate și scrieți "</w:t>
      </w:r>
      <w:r>
        <w:rPr>
          <w:rFonts w:ascii="Cambria" w:hAnsi="Cambria"/>
          <w:i/>
          <w:iCs/>
        </w:rPr>
        <w:t>Nu se aplică.</w:t>
      </w:r>
      <w:r>
        <w:rPr>
          <w:rFonts w:ascii="Cambria" w:hAnsi="Cambri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2C1C16"/>
    <w:multiLevelType w:val="singleLevel"/>
    <w:tmpl w:val="8D2C1C16"/>
    <w:lvl w:ilvl="0" w:tentative="0">
      <w:start w:val="2"/>
      <w:numFmt w:val="decimal"/>
      <w:suff w:val="space"/>
      <w:lvlText w:val="%1."/>
      <w:lvlJc w:val="left"/>
    </w:lvl>
  </w:abstractNum>
  <w:abstractNum w:abstractNumId="1">
    <w:nsid w:val="BE425819"/>
    <w:multiLevelType w:val="singleLevel"/>
    <w:tmpl w:val="BE42581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CA9DD9B7"/>
    <w:multiLevelType w:val="singleLevel"/>
    <w:tmpl w:val="CA9DD9B7"/>
    <w:lvl w:ilvl="0" w:tentative="0">
      <w:start w:val="1"/>
      <w:numFmt w:val="decimal"/>
      <w:suff w:val="space"/>
      <w:lvlText w:val="%1."/>
      <w:lvlJc w:val="left"/>
    </w:lvl>
  </w:abstractNum>
  <w:abstractNum w:abstractNumId="3">
    <w:nsid w:val="2AFCED41"/>
    <w:multiLevelType w:val="singleLevel"/>
    <w:tmpl w:val="2AFCED41"/>
    <w:lvl w:ilvl="0" w:tentative="0">
      <w:start w:val="1"/>
      <w:numFmt w:val="decimal"/>
      <w:suff w:val="space"/>
      <w:lvlText w:val="%1."/>
      <w:lvlJc w:val="left"/>
    </w:lvl>
  </w:abstractNum>
  <w:abstractNum w:abstractNumId="4">
    <w:nsid w:val="4E574E88"/>
    <w:multiLevelType w:val="singleLevel"/>
    <w:tmpl w:val="4E574E88"/>
    <w:lvl w:ilvl="0" w:tentative="0">
      <w:start w:val="1"/>
      <w:numFmt w:val="decimal"/>
      <w:suff w:val="space"/>
      <w:lvlText w:val="%1."/>
      <w:lvlJc w:val="left"/>
    </w:lvl>
  </w:abstractNum>
  <w:abstractNum w:abstractNumId="5">
    <w:nsid w:val="707E710E"/>
    <w:multiLevelType w:val="multilevel"/>
    <w:tmpl w:val="707E71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720"/>
  <w:drawingGridHorizontalSpacing w:val="120"/>
  <w:displayHorizontalDrawingGridEvery w:val="1"/>
  <w:displayVerticalDrawingGridEvery w:val="1"/>
  <w:noPunctuationKerning w:val="1"/>
  <w:characterSpacingControl w:val="doNotCompress"/>
  <w:footnotePr>
    <w:footnote w:id="2"/>
    <w:footnote w:id="3"/>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3B8460E"/>
    <w:rsid w:val="081A7B74"/>
    <w:rsid w:val="10929FD2"/>
    <w:rsid w:val="21990BE9"/>
    <w:rsid w:val="22386FE1"/>
    <w:rsid w:val="22D9017C"/>
    <w:rsid w:val="2B225236"/>
    <w:rsid w:val="3C8B5822"/>
    <w:rsid w:val="47543D6C"/>
    <w:rsid w:val="4CC386AB"/>
    <w:rsid w:val="549F7AC6"/>
    <w:rsid w:val="5B44A9F5"/>
    <w:rsid w:val="7E995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ro-RO" w:eastAsia="en-US" w:bidi="ar-SA"/>
      <w14:ligatures w14:val="standardContextual"/>
    </w:rPr>
  </w:style>
  <w:style w:type="paragraph" w:styleId="2">
    <w:name w:val="heading 1"/>
    <w:basedOn w:val="1"/>
    <w:next w:val="1"/>
    <w:link w:val="22"/>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4"/>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5"/>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6"/>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7"/>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8"/>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0"/>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Emphasis"/>
    <w:basedOn w:val="11"/>
    <w:qFormat/>
    <w:uiPriority w:val="20"/>
    <w:rPr>
      <w:i/>
      <w:iCs/>
    </w:rPr>
  </w:style>
  <w:style w:type="character" w:styleId="14">
    <w:name w:val="footnote reference"/>
    <w:semiHidden/>
    <w:unhideWhenUsed/>
    <w:uiPriority w:val="99"/>
    <w:rPr>
      <w:vertAlign w:val="superscript"/>
    </w:rPr>
  </w:style>
  <w:style w:type="paragraph" w:styleId="15">
    <w:name w:val="footnote text"/>
    <w:basedOn w:val="1"/>
    <w:link w:val="40"/>
    <w:semiHidden/>
    <w:unhideWhenUsed/>
    <w:qFormat/>
    <w:uiPriority w:val="99"/>
    <w:pPr>
      <w:spacing w:after="200" w:line="276" w:lineRule="auto"/>
    </w:pPr>
    <w:rPr>
      <w:rFonts w:ascii="Calibri" w:hAnsi="Calibri" w:eastAsia="Calibri" w:cs="Times New Roman"/>
      <w:kern w:val="0"/>
      <w:sz w:val="20"/>
      <w:szCs w:val="20"/>
      <w14:ligatures w14:val="none"/>
    </w:rPr>
  </w:style>
  <w:style w:type="character" w:styleId="16">
    <w:name w:val="Hyperlink"/>
    <w:basedOn w:val="11"/>
    <w:unhideWhenUsed/>
    <w:uiPriority w:val="99"/>
    <w:rPr>
      <w:color w:val="467886" w:themeColor="hyperlink"/>
      <w:u w:val="single"/>
      <w14:textFill>
        <w14:solidFill>
          <w14:schemeClr w14:val="hlink"/>
        </w14:solidFill>
      </w14:textFill>
    </w:rPr>
  </w:style>
  <w:style w:type="paragraph" w:styleId="17">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8">
    <w:name w:val="Strong"/>
    <w:basedOn w:val="11"/>
    <w:qFormat/>
    <w:uiPriority w:val="22"/>
    <w:rPr>
      <w:b/>
      <w:bCs/>
    </w:rPr>
  </w:style>
  <w:style w:type="paragraph" w:styleId="19">
    <w:name w:val="Subtitle"/>
    <w:basedOn w:val="1"/>
    <w:next w:val="1"/>
    <w:link w:val="32"/>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20">
    <w:name w:val="Table Grid"/>
    <w:basedOn w:val="12"/>
    <w:qFormat/>
    <w:uiPriority w:val="99"/>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1">
    <w:name w:val="Title"/>
    <w:basedOn w:val="1"/>
    <w:next w:val="1"/>
    <w:link w:val="31"/>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22">
    <w:name w:val="Heading 1 Char"/>
    <w:basedOn w:val="11"/>
    <w:link w:val="2"/>
    <w:uiPriority w:val="9"/>
    <w:rPr>
      <w:rFonts w:asciiTheme="majorHAnsi" w:hAnsiTheme="majorHAnsi" w:eastAsiaTheme="majorEastAsia" w:cstheme="majorBidi"/>
      <w:color w:val="104862" w:themeColor="accent1" w:themeShade="BF"/>
      <w:sz w:val="40"/>
      <w:szCs w:val="40"/>
    </w:rPr>
  </w:style>
  <w:style w:type="character" w:customStyle="1" w:styleId="23">
    <w:name w:val="Heading 2 Char"/>
    <w:basedOn w:val="11"/>
    <w:link w:val="3"/>
    <w:semiHidden/>
    <w:uiPriority w:val="9"/>
    <w:rPr>
      <w:rFonts w:asciiTheme="majorHAnsi" w:hAnsiTheme="majorHAnsi" w:eastAsiaTheme="majorEastAsia" w:cstheme="majorBidi"/>
      <w:color w:val="104862" w:themeColor="accent1" w:themeShade="BF"/>
      <w:sz w:val="32"/>
      <w:szCs w:val="32"/>
    </w:rPr>
  </w:style>
  <w:style w:type="character" w:customStyle="1" w:styleId="24">
    <w:name w:val="Heading 3 Char"/>
    <w:basedOn w:val="11"/>
    <w:link w:val="4"/>
    <w:semiHidden/>
    <w:uiPriority w:val="9"/>
    <w:rPr>
      <w:rFonts w:eastAsiaTheme="majorEastAsia" w:cstheme="majorBidi"/>
      <w:color w:val="104862" w:themeColor="accent1" w:themeShade="BF"/>
      <w:sz w:val="28"/>
      <w:szCs w:val="28"/>
    </w:rPr>
  </w:style>
  <w:style w:type="character" w:customStyle="1" w:styleId="25">
    <w:name w:val="Heading 4 Char"/>
    <w:basedOn w:val="11"/>
    <w:link w:val="5"/>
    <w:semiHidden/>
    <w:uiPriority w:val="9"/>
    <w:rPr>
      <w:rFonts w:eastAsiaTheme="majorEastAsia" w:cstheme="majorBidi"/>
      <w:i/>
      <w:iCs/>
      <w:color w:val="104862" w:themeColor="accent1" w:themeShade="BF"/>
    </w:rPr>
  </w:style>
  <w:style w:type="character" w:customStyle="1" w:styleId="26">
    <w:name w:val="Heading 5 Char"/>
    <w:basedOn w:val="11"/>
    <w:link w:val="6"/>
    <w:semiHidden/>
    <w:uiPriority w:val="9"/>
    <w:rPr>
      <w:rFonts w:eastAsiaTheme="majorEastAsia" w:cstheme="majorBidi"/>
      <w:color w:val="104862" w:themeColor="accent1" w:themeShade="BF"/>
    </w:rPr>
  </w:style>
  <w:style w:type="character" w:customStyle="1" w:styleId="27">
    <w:name w:val="Heading 6 Char"/>
    <w:basedOn w:val="11"/>
    <w:link w:val="7"/>
    <w:semiHidden/>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8">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Heading 8 Char"/>
    <w:basedOn w:val="11"/>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0">
    <w:name w:val="Heading 9 Char"/>
    <w:basedOn w:val="11"/>
    <w:link w:val="10"/>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1">
    <w:name w:val="Title Char"/>
    <w:basedOn w:val="11"/>
    <w:link w:val="21"/>
    <w:uiPriority w:val="10"/>
    <w:rPr>
      <w:rFonts w:asciiTheme="majorHAnsi" w:hAnsiTheme="majorHAnsi" w:eastAsiaTheme="majorEastAsia" w:cstheme="majorBidi"/>
      <w:spacing w:val="-10"/>
      <w:kern w:val="28"/>
      <w:sz w:val="56"/>
      <w:szCs w:val="56"/>
    </w:rPr>
  </w:style>
  <w:style w:type="character" w:customStyle="1" w:styleId="32">
    <w:name w:val="Subtitle Char"/>
    <w:basedOn w:val="11"/>
    <w:link w:val="19"/>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Quote Char"/>
    <w:basedOn w:val="11"/>
    <w:link w:val="33"/>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Intense Emphasis"/>
    <w:basedOn w:val="11"/>
    <w:qFormat/>
    <w:uiPriority w:val="21"/>
    <w:rPr>
      <w:i/>
      <w:iCs/>
      <w:color w:val="104862" w:themeColor="accent1" w:themeShade="BF"/>
    </w:rPr>
  </w:style>
  <w:style w:type="paragraph" w:styleId="37">
    <w:name w:val="Intense Quote"/>
    <w:basedOn w:val="1"/>
    <w:next w:val="1"/>
    <w:link w:val="38"/>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8">
    <w:name w:val="Intense Quote Char"/>
    <w:basedOn w:val="11"/>
    <w:link w:val="37"/>
    <w:uiPriority w:val="30"/>
    <w:rPr>
      <w:i/>
      <w:iCs/>
      <w:color w:val="104862" w:themeColor="accent1" w:themeShade="BF"/>
    </w:rPr>
  </w:style>
  <w:style w:type="character" w:customStyle="1" w:styleId="39">
    <w:name w:val="Intense Reference"/>
    <w:basedOn w:val="11"/>
    <w:qFormat/>
    <w:uiPriority w:val="32"/>
    <w:rPr>
      <w:b/>
      <w:bCs/>
      <w:smallCaps/>
      <w:color w:val="104862" w:themeColor="accent1" w:themeShade="BF"/>
      <w:spacing w:val="5"/>
    </w:rPr>
  </w:style>
  <w:style w:type="character" w:customStyle="1" w:styleId="40">
    <w:name w:val="Footnote Text Char"/>
    <w:basedOn w:val="11"/>
    <w:link w:val="15"/>
    <w:semiHidden/>
    <w:uiPriority w:val="99"/>
    <w:rPr>
      <w:rFonts w:ascii="Calibri" w:hAnsi="Calibri" w:eastAsia="Calibri" w:cs="Times New Roman"/>
      <w:kern w:val="0"/>
      <w:sz w:val="20"/>
      <w:szCs w:val="20"/>
      <w:lang w:val="ro-RO"/>
      <w14:ligatures w14:val="none"/>
    </w:rPr>
  </w:style>
  <w:style w:type="character" w:customStyle="1" w:styleId="41">
    <w:name w:val="Unresolved Mention"/>
    <w:basedOn w:val="1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0.jpe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7502D2-C606-4204-8575-123567E28842}">
  <ds:schemaRefs/>
</ds:datastoreItem>
</file>

<file path=customXml/itemProps2.xml><?xml version="1.0" encoding="utf-8"?>
<ds:datastoreItem xmlns:ds="http://schemas.openxmlformats.org/officeDocument/2006/customXml" ds:itemID="{AC5EA9A6-3DFB-490F-B407-6278576BD15B}">
  <ds:schemaRefs/>
</ds:datastoreItem>
</file>

<file path=customXml/itemProps3.xml><?xml version="1.0" encoding="utf-8"?>
<ds:datastoreItem xmlns:ds="http://schemas.openxmlformats.org/officeDocument/2006/customXml" ds:itemID="{D5751E07-FEA2-452A-9F67-9A6A692647F4}">
  <ds:schemaRefs/>
</ds:datastoreItem>
</file>

<file path=customXml/itemProps4.xml><?xml version="1.0" encoding="utf-8"?>
<ds:datastoreItem xmlns:ds="http://schemas.openxmlformats.org/officeDocument/2006/customXml" ds:itemID="{E4D0E14E-8BE7-42CA-AB5D-3494E3BDC854}">
  <ds:schemaRefs/>
</ds:datastoreItem>
</file>

<file path=docProps/app.xml><?xml version="1.0" encoding="utf-8"?>
<Properties xmlns="http://schemas.openxmlformats.org/officeDocument/2006/extended-properties" xmlns:vt="http://schemas.openxmlformats.org/officeDocument/2006/docPropsVTypes">
  <Template>Normal</Template>
  <Pages>7</Pages>
  <TotalTime>16</TotalTime>
  <ScaleCrop>false</ScaleCrop>
  <LinksUpToDate>false</LinksUpToDate>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2024-11-08T09:11:00Z</dcterms:created>
  <dc:creator>Patricia-Georgiana Rechisan</dc:creator>
  <cp:lastModifiedBy>gliga</cp:lastModifiedBy>
  <dcterms:modified xsi:type="dcterms:W3CDTF">2025-11-10T07:40:47Z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KSOProductBuildVer">
    <vt:lpwstr>1033-12.2.0.22549</vt:lpwstr>
  </property>
  <property fmtid="{D5CDD505-2E9C-101B-9397-08002B2CF9AE}" pid="4" name="ICV">
    <vt:lpwstr>823636A45B2F46FA91F8765E5BA9E0B9_12</vt:lpwstr>
  </property>
</Properties>
</file>